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r>
        <w:rPr>
          <w:rFonts w:hint="eastAsia"/>
          <w:sz w:val="36"/>
          <w:szCs w:val="36"/>
        </w:rPr>
        <w:t>采购内容及要求</w:t>
      </w:r>
    </w:p>
    <w:p>
      <w:pPr>
        <w:spacing w:line="360" w:lineRule="auto"/>
        <w:rPr>
          <w:rFonts w:hint="eastAsia"/>
          <w:lang w:val="en-US" w:eastAsia="zh-CN"/>
        </w:rPr>
      </w:pPr>
    </w:p>
    <w:p>
      <w:pPr>
        <w:spacing w:line="360" w:lineRule="auto"/>
        <w:rPr>
          <w:rFonts w:hint="eastAsia" w:eastAsiaTheme="minorEastAsia"/>
          <w:lang w:eastAsia="zh-CN"/>
        </w:rPr>
      </w:pPr>
      <w:r>
        <w:rPr>
          <w:rFonts w:hint="eastAsia"/>
          <w:b/>
          <w:bCs/>
          <w:lang w:val="en-US" w:eastAsia="zh-CN"/>
        </w:rPr>
        <w:t>一、</w:t>
      </w:r>
      <w:r>
        <w:rPr>
          <w:rFonts w:hint="eastAsia"/>
          <w:b/>
          <w:bCs/>
        </w:rPr>
        <w:t>项目名称：</w:t>
      </w:r>
      <w:r>
        <w:rPr>
          <w:rFonts w:hint="eastAsia"/>
        </w:rPr>
        <w:t>浙江省医院质量管理与绩效评价平台维护</w:t>
      </w:r>
    </w:p>
    <w:p>
      <w:pPr>
        <w:spacing w:line="360" w:lineRule="auto"/>
        <w:rPr>
          <w:rFonts w:hint="eastAsia"/>
          <w:lang w:val="en-US" w:eastAsia="zh-CN"/>
        </w:rPr>
      </w:pPr>
      <w:r>
        <w:rPr>
          <w:rFonts w:hint="eastAsia"/>
          <w:b/>
          <w:bCs/>
          <w:lang w:val="en-US" w:eastAsia="zh-CN"/>
        </w:rPr>
        <w:t>二</w:t>
      </w:r>
      <w:r>
        <w:rPr>
          <w:rFonts w:hint="eastAsia"/>
          <w:b/>
          <w:bCs/>
        </w:rPr>
        <w:t>、预算</w:t>
      </w:r>
      <w:r>
        <w:rPr>
          <w:rFonts w:hint="eastAsia"/>
          <w:b/>
          <w:bCs/>
          <w:lang w:val="en-US" w:eastAsia="zh-CN"/>
        </w:rPr>
        <w:t>金额</w:t>
      </w:r>
      <w:r>
        <w:rPr>
          <w:rFonts w:hint="eastAsia"/>
          <w:b/>
          <w:bCs/>
        </w:rPr>
        <w:t>：</w:t>
      </w:r>
      <w:r>
        <w:rPr>
          <w:rFonts w:hint="eastAsia"/>
          <w:lang w:val="en-US" w:eastAsia="zh-CN"/>
        </w:rPr>
        <w:t>3.6万元</w:t>
      </w:r>
      <w:r>
        <w:rPr>
          <w:rFonts w:hint="eastAsia" w:ascii="微软雅黑" w:hAnsi="微软雅黑" w:eastAsia="微软雅黑" w:cs="微软雅黑"/>
          <w:lang w:val="en-US" w:eastAsia="zh-CN"/>
        </w:rPr>
        <w:t>/</w:t>
      </w:r>
      <w:r>
        <w:rPr>
          <w:rFonts w:hint="eastAsia"/>
          <w:lang w:val="en-US" w:eastAsia="zh-CN"/>
        </w:rPr>
        <w:t>年</w:t>
      </w:r>
    </w:p>
    <w:p>
      <w:pPr>
        <w:pStyle w:val="10"/>
        <w:spacing w:line="360" w:lineRule="auto"/>
        <w:ind w:left="0" w:leftChars="0" w:firstLine="0" w:firstLineChars="0"/>
        <w:rPr>
          <w:rFonts w:hint="default"/>
          <w:lang w:val="en-US" w:eastAsia="zh-CN"/>
        </w:rPr>
      </w:pPr>
      <w:r>
        <w:rPr>
          <w:rFonts w:hint="eastAsia"/>
          <w:b/>
          <w:bCs/>
          <w:lang w:val="en-US" w:eastAsia="zh-CN"/>
        </w:rPr>
        <w:t>三、采购方式：</w:t>
      </w:r>
      <w:r>
        <w:rPr>
          <w:rFonts w:hint="eastAsia"/>
          <w:lang w:val="en-US" w:eastAsia="zh-CN"/>
        </w:rPr>
        <w:t>询价采购</w:t>
      </w:r>
    </w:p>
    <w:p>
      <w:pPr>
        <w:spacing w:line="360" w:lineRule="auto"/>
        <w:rPr>
          <w:rFonts w:hint="eastAsia"/>
        </w:rPr>
      </w:pPr>
      <w:r>
        <w:rPr>
          <w:rFonts w:hint="eastAsia"/>
          <w:b/>
          <w:bCs/>
          <w:lang w:val="en-US" w:eastAsia="zh-CN"/>
        </w:rPr>
        <w:t>四</w:t>
      </w:r>
      <w:r>
        <w:rPr>
          <w:rFonts w:hint="eastAsia"/>
          <w:b/>
          <w:bCs/>
        </w:rPr>
        <w:t>、服务内容</w:t>
      </w:r>
      <w:r>
        <w:rPr>
          <w:rFonts w:hint="eastAsia"/>
          <w:b/>
          <w:bCs/>
          <w:lang w:val="en-US" w:eastAsia="zh-CN"/>
        </w:rPr>
        <w:t>及要求</w:t>
      </w:r>
      <w:r>
        <w:rPr>
          <w:rFonts w:hint="eastAsia"/>
          <w:b/>
          <w:bCs/>
        </w:rPr>
        <w:t>：</w:t>
      </w:r>
    </w:p>
    <w:p>
      <w:pPr>
        <w:numPr>
          <w:ilvl w:val="0"/>
          <w:numId w:val="0"/>
        </w:numPr>
        <w:spacing w:line="360" w:lineRule="auto"/>
        <w:rPr>
          <w:rFonts w:ascii="宋体" w:hAnsi="宋体" w:cs="宋体"/>
          <w:b w:val="0"/>
          <w:bCs w:val="0"/>
          <w:sz w:val="21"/>
          <w:szCs w:val="21"/>
        </w:rPr>
      </w:pPr>
      <w:r>
        <w:rPr>
          <w:rFonts w:hint="eastAsia" w:ascii="宋体" w:hAnsi="宋体" w:cs="宋体"/>
          <w:b w:val="0"/>
          <w:bCs w:val="0"/>
          <w:sz w:val="21"/>
          <w:szCs w:val="21"/>
          <w:lang w:val="en-US" w:eastAsia="zh-CN"/>
        </w:rPr>
        <w:t>1、</w:t>
      </w:r>
      <w:r>
        <w:rPr>
          <w:rFonts w:hint="eastAsia" w:ascii="宋体" w:hAnsi="宋体" w:cs="宋体"/>
          <w:b w:val="0"/>
          <w:bCs w:val="0"/>
          <w:sz w:val="21"/>
          <w:szCs w:val="21"/>
        </w:rPr>
        <w:t>技术服务范围：</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370"/>
        <w:gridCol w:w="5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序号</w:t>
            </w:r>
          </w:p>
        </w:tc>
        <w:tc>
          <w:tcPr>
            <w:tcW w:w="1316"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项目名称</w:t>
            </w:r>
          </w:p>
        </w:tc>
        <w:tc>
          <w:tcPr>
            <w:tcW w:w="3070"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项目说明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上传文件详细结果</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查看最近一次上传文件的数据量。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上传文件审核</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查看数据上传后的审核结果，用户根据结果修正数据，重新上传。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上报数据质量一览表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查看数据上报质量及入组率等指标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上传数据查询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分月查看数据上传的数量以及是否已经过drg分组，单病种分组等。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全省</w:t>
            </w:r>
            <w:r>
              <w:rPr>
                <w:rFonts w:ascii="宋体" w:hAnsi="宋体" w:cs="宋体"/>
                <w:color w:val="000000"/>
                <w:sz w:val="21"/>
                <w:szCs w:val="21"/>
              </w:rPr>
              <w:t>DRGs</w:t>
            </w:r>
            <w:r>
              <w:rPr>
                <w:rFonts w:hint="eastAsia" w:ascii="宋体" w:hAnsi="宋体" w:cs="宋体"/>
                <w:color w:val="000000"/>
                <w:sz w:val="21"/>
                <w:szCs w:val="21"/>
              </w:rPr>
              <w:t>绩效</w:t>
            </w:r>
            <w:r>
              <w:rPr>
                <w:rFonts w:hint="eastAsia" w:ascii="宋体" w:hAnsi="宋体" w:cs="宋体"/>
                <w:color w:val="000000"/>
                <w:sz w:val="21"/>
                <w:szCs w:val="21"/>
                <w:lang w:val="en-US" w:eastAsia="zh-CN"/>
              </w:rPr>
              <w:t>评价</w:t>
            </w:r>
            <w:r>
              <w:rPr>
                <w:rFonts w:hint="eastAsia" w:ascii="宋体" w:hAnsi="宋体" w:cs="宋体"/>
                <w:color w:val="000000"/>
                <w:sz w:val="21"/>
                <w:szCs w:val="21"/>
              </w:rPr>
              <w:t>平台简报</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由卫健委定期发布，全省医院的</w:t>
            </w:r>
            <w:r>
              <w:rPr>
                <w:rFonts w:ascii="宋体" w:hAnsi="宋体" w:cs="宋体"/>
                <w:color w:val="000000"/>
                <w:sz w:val="21"/>
                <w:szCs w:val="21"/>
              </w:rPr>
              <w:t>drgs</w:t>
            </w:r>
            <w:r>
              <w:rPr>
                <w:rFonts w:hint="eastAsia" w:ascii="宋体" w:hAnsi="宋体" w:cs="宋体"/>
                <w:color w:val="000000"/>
                <w:sz w:val="21"/>
                <w:szCs w:val="21"/>
              </w:rPr>
              <w:t>绩效简报，具体包含</w:t>
            </w:r>
            <w:r>
              <w:rPr>
                <w:rFonts w:ascii="宋体" w:hAnsi="宋体" w:cs="宋体"/>
                <w:color w:val="000000"/>
                <w:sz w:val="21"/>
                <w:szCs w:val="21"/>
              </w:rPr>
              <w:t>1.</w:t>
            </w:r>
            <w:r>
              <w:rPr>
                <w:rFonts w:hint="eastAsia" w:ascii="宋体" w:hAnsi="宋体" w:cs="宋体"/>
                <w:color w:val="000000"/>
                <w:sz w:val="21"/>
                <w:szCs w:val="21"/>
              </w:rPr>
              <w:t>医院</w:t>
            </w:r>
            <w:r>
              <w:rPr>
                <w:rFonts w:ascii="宋体" w:hAnsi="宋体" w:cs="宋体"/>
                <w:color w:val="000000"/>
                <w:sz w:val="21"/>
                <w:szCs w:val="21"/>
              </w:rPr>
              <w:t>DRGs</w:t>
            </w:r>
            <w:r>
              <w:rPr>
                <w:rFonts w:hint="eastAsia" w:ascii="宋体" w:hAnsi="宋体" w:cs="宋体"/>
                <w:color w:val="000000"/>
                <w:sz w:val="21"/>
                <w:szCs w:val="21"/>
              </w:rPr>
              <w:t>绩效排名，按照医院性质分别排名。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2.</w:t>
            </w:r>
            <w:r>
              <w:rPr>
                <w:rFonts w:hint="eastAsia" w:ascii="宋体" w:hAnsi="宋体" w:cs="宋体"/>
                <w:color w:val="000000"/>
                <w:sz w:val="21"/>
                <w:szCs w:val="21"/>
              </w:rPr>
              <w:t>全省各数据上传情况排名。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3.</w:t>
            </w:r>
            <w:r>
              <w:rPr>
                <w:rFonts w:hint="eastAsia" w:ascii="宋体" w:hAnsi="宋体" w:cs="宋体"/>
                <w:color w:val="000000"/>
                <w:sz w:val="21"/>
                <w:szCs w:val="21"/>
              </w:rPr>
              <w:t>全省病例权重大于</w:t>
            </w:r>
            <w:r>
              <w:rPr>
                <w:rFonts w:ascii="宋体" w:hAnsi="宋体" w:cs="宋体"/>
                <w:color w:val="000000"/>
                <w:sz w:val="21"/>
                <w:szCs w:val="21"/>
              </w:rPr>
              <w:t>2</w:t>
            </w:r>
            <w:r>
              <w:rPr>
                <w:rFonts w:hint="eastAsia" w:ascii="宋体" w:hAnsi="宋体" w:cs="宋体"/>
                <w:color w:val="000000"/>
                <w:sz w:val="21"/>
                <w:szCs w:val="21"/>
              </w:rPr>
              <w:t>的分段排名。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4.</w:t>
            </w:r>
            <w:r>
              <w:rPr>
                <w:rFonts w:hint="eastAsia" w:ascii="宋体" w:hAnsi="宋体" w:cs="宋体"/>
                <w:color w:val="000000"/>
                <w:sz w:val="21"/>
                <w:szCs w:val="21"/>
              </w:rPr>
              <w:t>全省三四级手术排名。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5.</w:t>
            </w:r>
            <w:r>
              <w:rPr>
                <w:rFonts w:hint="eastAsia" w:ascii="宋体" w:hAnsi="宋体" w:cs="宋体"/>
                <w:color w:val="000000"/>
                <w:sz w:val="21"/>
                <w:szCs w:val="21"/>
              </w:rPr>
              <w:t>全省单病种排名。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DRGs</w:t>
            </w:r>
            <w:r>
              <w:rPr>
                <w:rFonts w:hint="eastAsia" w:ascii="宋体" w:hAnsi="宋体" w:cs="宋体"/>
                <w:color w:val="000000"/>
                <w:sz w:val="21"/>
                <w:szCs w:val="21"/>
              </w:rPr>
              <w:t>数据审核</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审核</w:t>
            </w:r>
            <w:r>
              <w:rPr>
                <w:rFonts w:ascii="宋体" w:hAnsi="宋体" w:cs="宋体"/>
                <w:color w:val="000000"/>
                <w:sz w:val="21"/>
                <w:szCs w:val="21"/>
              </w:rPr>
              <w:t>DRGs</w:t>
            </w:r>
            <w:r>
              <w:rPr>
                <w:rFonts w:hint="eastAsia" w:ascii="宋体" w:hAnsi="宋体" w:cs="宋体"/>
                <w:color w:val="000000"/>
                <w:sz w:val="21"/>
                <w:szCs w:val="21"/>
              </w:rPr>
              <w:t>相关数据规范，包括：无效主诊断、性别不符、新生儿不符、不规范诊断和非标准编码。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Cmi</w:t>
            </w:r>
            <w:r>
              <w:rPr>
                <w:rFonts w:hint="eastAsia" w:ascii="宋体" w:hAnsi="宋体" w:cs="宋体"/>
                <w:color w:val="000000"/>
                <w:sz w:val="21"/>
                <w:szCs w:val="21"/>
              </w:rPr>
              <w:t>统计报表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w:t>
            </w:r>
            <w:r>
              <w:rPr>
                <w:rFonts w:ascii="宋体" w:hAnsi="宋体" w:cs="宋体"/>
                <w:color w:val="000000"/>
                <w:sz w:val="21"/>
                <w:szCs w:val="21"/>
              </w:rPr>
              <w:t>CMI</w:t>
            </w:r>
            <w:r>
              <w:rPr>
                <w:rFonts w:hint="eastAsia" w:ascii="宋体" w:hAnsi="宋体" w:cs="宋体"/>
                <w:color w:val="000000"/>
                <w:sz w:val="21"/>
                <w:szCs w:val="21"/>
              </w:rPr>
              <w:t>值、</w:t>
            </w:r>
            <w:r>
              <w:rPr>
                <w:rFonts w:ascii="宋体" w:hAnsi="宋体" w:cs="宋体"/>
                <w:color w:val="000000"/>
                <w:sz w:val="21"/>
                <w:szCs w:val="21"/>
              </w:rPr>
              <w:t>DRG</w:t>
            </w:r>
            <w:r>
              <w:rPr>
                <w:rFonts w:hint="eastAsia" w:ascii="宋体" w:hAnsi="宋体" w:cs="宋体"/>
                <w:color w:val="000000"/>
                <w:sz w:val="21"/>
                <w:szCs w:val="21"/>
              </w:rPr>
              <w:t>总量、时间指数、费用指数、低风险死亡率、组数、平均费用、平均住院天数等指标。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权重大于</w:t>
            </w:r>
            <w:r>
              <w:rPr>
                <w:rFonts w:ascii="宋体" w:hAnsi="宋体" w:cs="宋体"/>
                <w:color w:val="000000"/>
                <w:sz w:val="21"/>
                <w:szCs w:val="21"/>
              </w:rPr>
              <w:t>2</w:t>
            </w:r>
            <w:r>
              <w:rPr>
                <w:rFonts w:hint="eastAsia" w:ascii="宋体" w:hAnsi="宋体" w:cs="宋体"/>
                <w:color w:val="000000"/>
                <w:sz w:val="21"/>
                <w:szCs w:val="21"/>
              </w:rPr>
              <w:t>的病例例数及比例</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w:t>
            </w:r>
            <w:r>
              <w:rPr>
                <w:rFonts w:ascii="宋体" w:hAnsi="宋体" w:cs="宋体"/>
                <w:color w:val="000000"/>
                <w:sz w:val="21"/>
                <w:szCs w:val="21"/>
              </w:rPr>
              <w:t>RW</w:t>
            </w:r>
            <w:r>
              <w:rPr>
                <w:rFonts w:hint="eastAsia" w:ascii="宋体" w:hAnsi="宋体" w:cs="宋体"/>
                <w:color w:val="000000"/>
                <w:sz w:val="21"/>
                <w:szCs w:val="21"/>
              </w:rPr>
              <w:t>值大于</w:t>
            </w:r>
            <w:r>
              <w:rPr>
                <w:rFonts w:ascii="宋体" w:hAnsi="宋体" w:cs="宋体"/>
                <w:color w:val="000000"/>
                <w:sz w:val="21"/>
                <w:szCs w:val="21"/>
              </w:rPr>
              <w:t>2(</w:t>
            </w:r>
            <w:r>
              <w:rPr>
                <w:rFonts w:hint="eastAsia" w:ascii="宋体" w:hAnsi="宋体" w:cs="宋体"/>
                <w:color w:val="000000"/>
                <w:sz w:val="21"/>
                <w:szCs w:val="21"/>
              </w:rPr>
              <w:t>即难度较大的病种</w:t>
            </w:r>
            <w:r>
              <w:rPr>
                <w:rFonts w:ascii="宋体" w:hAnsi="宋体" w:cs="宋体"/>
                <w:color w:val="000000"/>
                <w:sz w:val="21"/>
                <w:szCs w:val="21"/>
              </w:rPr>
              <w:t>)</w:t>
            </w:r>
            <w:r>
              <w:rPr>
                <w:rFonts w:hint="eastAsia" w:ascii="宋体" w:hAnsi="宋体" w:cs="宋体"/>
                <w:color w:val="000000"/>
                <w:sz w:val="21"/>
                <w:szCs w:val="21"/>
              </w:rPr>
              <w:t>的病例例数及比例。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权重大于</w:t>
            </w:r>
            <w:r>
              <w:rPr>
                <w:rFonts w:ascii="宋体" w:hAnsi="宋体" w:cs="宋体"/>
                <w:color w:val="000000"/>
                <w:sz w:val="21"/>
                <w:szCs w:val="21"/>
              </w:rPr>
              <w:t>2</w:t>
            </w:r>
            <w:r>
              <w:rPr>
                <w:rFonts w:hint="eastAsia" w:ascii="宋体" w:hAnsi="宋体" w:cs="宋体"/>
                <w:color w:val="000000"/>
                <w:sz w:val="21"/>
                <w:szCs w:val="21"/>
              </w:rPr>
              <w:t>的病例分段统计</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分三段查看全院不同难度病种的例数</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2</w:t>
            </w:r>
            <w:r>
              <w:rPr>
                <w:rFonts w:hint="eastAsia" w:ascii="宋体" w:hAnsi="宋体" w:cs="宋体"/>
                <w:color w:val="000000"/>
                <w:sz w:val="21"/>
                <w:szCs w:val="21"/>
              </w:rPr>
              <w:t>≤</w:t>
            </w:r>
            <w:r>
              <w:rPr>
                <w:rFonts w:ascii="宋体" w:hAnsi="宋体" w:cs="宋体"/>
                <w:color w:val="000000"/>
                <w:sz w:val="21"/>
                <w:szCs w:val="21"/>
              </w:rPr>
              <w:t>RW</w:t>
            </w:r>
            <w:r>
              <w:rPr>
                <w:rFonts w:hint="eastAsia" w:ascii="宋体" w:hAnsi="宋体" w:cs="宋体"/>
                <w:color w:val="000000"/>
                <w:sz w:val="21"/>
                <w:szCs w:val="21"/>
              </w:rPr>
              <w:t>＜</w:t>
            </w:r>
            <w:r>
              <w:rPr>
                <w:rFonts w:ascii="宋体" w:hAnsi="宋体" w:cs="宋体"/>
                <w:color w:val="000000"/>
                <w:sz w:val="21"/>
                <w:szCs w:val="21"/>
              </w:rPr>
              <w:t>5</w:t>
            </w:r>
            <w:r>
              <w:rPr>
                <w:rFonts w:hint="eastAsia" w:ascii="宋体" w:hAnsi="宋体" w:cs="宋体"/>
                <w:color w:val="000000"/>
                <w:sz w:val="21"/>
                <w:szCs w:val="21"/>
              </w:rPr>
              <w:t>、</w:t>
            </w:r>
            <w:r>
              <w:rPr>
                <w:rFonts w:ascii="宋体" w:hAnsi="宋体" w:cs="宋体"/>
                <w:color w:val="000000"/>
                <w:sz w:val="21"/>
                <w:szCs w:val="21"/>
              </w:rPr>
              <w:t>5</w:t>
            </w:r>
            <w:r>
              <w:rPr>
                <w:rFonts w:hint="eastAsia" w:ascii="宋体" w:hAnsi="宋体" w:cs="宋体"/>
                <w:color w:val="000000"/>
                <w:sz w:val="21"/>
                <w:szCs w:val="21"/>
              </w:rPr>
              <w:t>≤</w:t>
            </w:r>
            <w:r>
              <w:rPr>
                <w:rFonts w:ascii="宋体" w:hAnsi="宋体" w:cs="宋体"/>
                <w:color w:val="000000"/>
                <w:sz w:val="21"/>
                <w:szCs w:val="21"/>
              </w:rPr>
              <w:t>RW</w:t>
            </w:r>
            <w:r>
              <w:rPr>
                <w:rFonts w:hint="eastAsia" w:ascii="宋体" w:hAnsi="宋体" w:cs="宋体"/>
                <w:color w:val="000000"/>
                <w:sz w:val="21"/>
                <w:szCs w:val="21"/>
              </w:rPr>
              <w:t>＜</w:t>
            </w:r>
            <w:r>
              <w:rPr>
                <w:rFonts w:ascii="宋体" w:hAnsi="宋体" w:cs="宋体"/>
                <w:color w:val="000000"/>
                <w:sz w:val="21"/>
                <w:szCs w:val="21"/>
              </w:rPr>
              <w:t>10</w:t>
            </w:r>
            <w:r>
              <w:rPr>
                <w:rFonts w:hint="eastAsia" w:ascii="宋体" w:hAnsi="宋体" w:cs="宋体"/>
                <w:color w:val="000000"/>
                <w:sz w:val="21"/>
                <w:szCs w:val="21"/>
              </w:rPr>
              <w:t>、≥</w:t>
            </w:r>
            <w:r>
              <w:rPr>
                <w:rFonts w:ascii="宋体" w:hAnsi="宋体" w:cs="宋体"/>
                <w:color w:val="00000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三四级手术例数及占比</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查看全院手术例数、三级、四级以及三四级手术比例。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DRGs</w:t>
            </w:r>
            <w:r>
              <w:rPr>
                <w:rFonts w:hint="eastAsia" w:ascii="宋体" w:hAnsi="宋体" w:cs="宋体"/>
                <w:color w:val="000000"/>
                <w:sz w:val="21"/>
                <w:szCs w:val="21"/>
              </w:rPr>
              <w:t>分组明细</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查看全院每个病例的分组明细数据，包含病人信息，主要疾病，手术以及所入的</w:t>
            </w:r>
            <w:r>
              <w:rPr>
                <w:rFonts w:ascii="宋体" w:hAnsi="宋体" w:cs="宋体"/>
                <w:color w:val="000000"/>
                <w:sz w:val="21"/>
                <w:szCs w:val="21"/>
              </w:rPr>
              <w:t>DRGs</w:t>
            </w:r>
            <w:r>
              <w:rPr>
                <w:rFonts w:hint="eastAsia" w:ascii="宋体" w:hAnsi="宋体" w:cs="宋体"/>
                <w:color w:val="000000"/>
                <w:sz w:val="21"/>
                <w:szCs w:val="21"/>
              </w:rPr>
              <w:t>组和组的权重。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单病种分组明细</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查看全院每个病例的所属的单病种名称。不属于单病种的则不列出。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科室CMI</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按照科室统计出，每个科室的</w:t>
            </w:r>
            <w:r>
              <w:rPr>
                <w:rFonts w:ascii="宋体" w:hAnsi="宋体" w:cs="宋体"/>
                <w:color w:val="000000"/>
                <w:sz w:val="21"/>
                <w:szCs w:val="21"/>
              </w:rPr>
              <w:t>CMI</w:t>
            </w:r>
            <w:r>
              <w:rPr>
                <w:rFonts w:hint="eastAsia" w:ascii="宋体" w:hAnsi="宋体" w:cs="宋体"/>
                <w:color w:val="000000"/>
                <w:sz w:val="21"/>
                <w:szCs w:val="21"/>
              </w:rPr>
              <w:t>、</w:t>
            </w:r>
            <w:r>
              <w:rPr>
                <w:rFonts w:ascii="宋体" w:hAnsi="宋体" w:cs="宋体"/>
                <w:color w:val="000000"/>
                <w:sz w:val="21"/>
                <w:szCs w:val="21"/>
              </w:rPr>
              <w:t>DRGs</w:t>
            </w:r>
            <w:r>
              <w:rPr>
                <w:rFonts w:hint="eastAsia" w:ascii="宋体" w:hAnsi="宋体" w:cs="宋体"/>
                <w:color w:val="000000"/>
                <w:sz w:val="21"/>
                <w:szCs w:val="21"/>
              </w:rPr>
              <w:t>总量、病例数、平均费用、平均药费、耗材费、住院天数等指标。包含图表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医生CMI</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按照医生级别</w:t>
            </w:r>
            <w:r>
              <w:rPr>
                <w:rFonts w:ascii="宋体" w:hAnsi="宋体" w:cs="宋体"/>
                <w:color w:val="000000"/>
                <w:sz w:val="21"/>
                <w:szCs w:val="21"/>
              </w:rPr>
              <w:t>(</w:t>
            </w:r>
            <w:r>
              <w:rPr>
                <w:rFonts w:hint="eastAsia" w:ascii="宋体" w:hAnsi="宋体" w:cs="宋体"/>
                <w:color w:val="000000"/>
                <w:sz w:val="21"/>
                <w:szCs w:val="21"/>
              </w:rPr>
              <w:t>科主任、主任、住院、主治医师</w:t>
            </w:r>
            <w:r>
              <w:rPr>
                <w:rFonts w:ascii="宋体" w:hAnsi="宋体" w:cs="宋体"/>
                <w:color w:val="000000"/>
                <w:sz w:val="21"/>
                <w:szCs w:val="21"/>
              </w:rPr>
              <w:t>)</w:t>
            </w:r>
            <w:r>
              <w:rPr>
                <w:rFonts w:hint="eastAsia" w:ascii="宋体" w:hAnsi="宋体" w:cs="宋体"/>
                <w:color w:val="000000"/>
                <w:sz w:val="21"/>
                <w:szCs w:val="21"/>
              </w:rPr>
              <w:t>统计出，每个医生的</w:t>
            </w:r>
            <w:r>
              <w:rPr>
                <w:rFonts w:ascii="宋体" w:hAnsi="宋体" w:cs="宋体"/>
                <w:color w:val="000000"/>
                <w:sz w:val="21"/>
                <w:szCs w:val="21"/>
              </w:rPr>
              <w:t>CMI</w:t>
            </w:r>
            <w:r>
              <w:rPr>
                <w:rFonts w:hint="eastAsia" w:ascii="宋体" w:hAnsi="宋体" w:cs="宋体"/>
                <w:color w:val="000000"/>
                <w:sz w:val="21"/>
                <w:szCs w:val="21"/>
              </w:rPr>
              <w:t>、</w:t>
            </w:r>
            <w:r>
              <w:rPr>
                <w:rFonts w:ascii="宋体" w:hAnsi="宋体" w:cs="宋体"/>
                <w:color w:val="000000"/>
                <w:sz w:val="21"/>
                <w:szCs w:val="21"/>
              </w:rPr>
              <w:t>DRGs</w:t>
            </w:r>
            <w:r>
              <w:rPr>
                <w:rFonts w:hint="eastAsia" w:ascii="宋体" w:hAnsi="宋体" w:cs="宋体"/>
                <w:color w:val="000000"/>
                <w:sz w:val="21"/>
                <w:szCs w:val="21"/>
              </w:rPr>
              <w:t>总量、病例数、平均费用、平均药费、耗材费、住院天数等指标。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全院手术报表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按照科室统计出，每个科室的手术例数、其中一二三四级手术各占多少，以及三四级手术的比例。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医生手术报表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按照医生统计出，每个医生的主刀或者作为助手参与的手术例数、其中一二三四级手术各占多少，以及三四级手术的比例。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w:t>
            </w:r>
            <w:r>
              <w:rPr>
                <w:rFonts w:ascii="宋体" w:hAnsi="宋体" w:cs="宋体"/>
                <w:color w:val="000000"/>
                <w:sz w:val="21"/>
                <w:szCs w:val="21"/>
              </w:rPr>
              <w:t>CMI</w:t>
            </w:r>
            <w:r>
              <w:rPr>
                <w:rFonts w:hint="eastAsia" w:ascii="宋体" w:hAnsi="宋体" w:cs="宋体"/>
                <w:color w:val="000000"/>
                <w:sz w:val="21"/>
                <w:szCs w:val="21"/>
              </w:rPr>
              <w:t>变化</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以图表的形式，直观的展现该时间段内全院出院人数以及</w:t>
            </w:r>
            <w:r>
              <w:rPr>
                <w:rFonts w:ascii="宋体" w:hAnsi="宋体" w:cs="宋体"/>
                <w:color w:val="000000"/>
                <w:sz w:val="21"/>
                <w:szCs w:val="21"/>
              </w:rPr>
              <w:t>CMI</w:t>
            </w:r>
            <w:r>
              <w:rPr>
                <w:rFonts w:hint="eastAsia" w:ascii="宋体" w:hAnsi="宋体" w:cs="宋体"/>
                <w:color w:val="000000"/>
                <w:sz w:val="21"/>
                <w:szCs w:val="21"/>
              </w:rPr>
              <w:t>值的变化曲线图。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全院病种结构</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分病种统计，显示全院各个病种的分布情况，包含人数、占比、平均</w:t>
            </w:r>
            <w:r>
              <w:rPr>
                <w:rFonts w:ascii="宋体" w:hAnsi="宋体" w:cs="宋体"/>
                <w:color w:val="000000"/>
                <w:sz w:val="21"/>
                <w:szCs w:val="21"/>
              </w:rPr>
              <w:t>RW</w:t>
            </w:r>
            <w:r>
              <w:rPr>
                <w:rFonts w:hint="eastAsia" w:ascii="宋体" w:hAnsi="宋体" w:cs="宋体"/>
                <w:color w:val="000000"/>
                <w:sz w:val="21"/>
                <w:szCs w:val="21"/>
              </w:rPr>
              <w:t>、平均住院日、平均总费用等指标。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科室病种结构报表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分科室统计，显示各科室的病种分布情况，包含人数、占比、平均</w:t>
            </w:r>
            <w:r>
              <w:rPr>
                <w:rFonts w:ascii="宋体" w:hAnsi="宋体" w:cs="宋体"/>
                <w:color w:val="000000"/>
                <w:sz w:val="21"/>
                <w:szCs w:val="21"/>
              </w:rPr>
              <w:t>RW</w:t>
            </w:r>
            <w:r>
              <w:rPr>
                <w:rFonts w:hint="eastAsia" w:ascii="宋体" w:hAnsi="宋体" w:cs="宋体"/>
                <w:color w:val="000000"/>
                <w:sz w:val="21"/>
                <w:szCs w:val="21"/>
              </w:rPr>
              <w:t>、平均住院日、平均总费用等指标。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医院手术明细查询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分科室统计，显示各科室的手术明细数据，包含手术名称、级别、主刀、一助二助、病人基本信息等。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低风险死亡查询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查询低风险组死亡病例，显示病人信息、出院科室、</w:t>
            </w:r>
            <w:r>
              <w:rPr>
                <w:rFonts w:ascii="宋体" w:hAnsi="宋体" w:cs="宋体"/>
                <w:color w:val="000000"/>
                <w:sz w:val="21"/>
                <w:szCs w:val="21"/>
              </w:rPr>
              <w:t>DRGs</w:t>
            </w:r>
            <w:r>
              <w:rPr>
                <w:rFonts w:hint="eastAsia" w:ascii="宋体" w:hAnsi="宋体" w:cs="宋体"/>
                <w:color w:val="000000"/>
                <w:sz w:val="21"/>
                <w:szCs w:val="21"/>
              </w:rPr>
              <w:t>组、死亡风险等指标</w:t>
            </w:r>
          </w:p>
        </w:tc>
      </w:tr>
    </w:tbl>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eastAsia="宋体"/>
          <w:b w:val="0"/>
          <w:bCs w:val="0"/>
          <w:color w:val="000000"/>
          <w:sz w:val="21"/>
          <w:szCs w:val="21"/>
          <w:lang w:val="zh-CN"/>
        </w:rPr>
      </w:pPr>
      <w:r>
        <w:rPr>
          <w:rFonts w:hint="eastAsia" w:ascii="宋体" w:hAnsi="宋体" w:cs="宋体"/>
          <w:b w:val="0"/>
          <w:bCs w:val="0"/>
          <w:sz w:val="21"/>
          <w:szCs w:val="21"/>
          <w:lang w:val="en-US" w:eastAsia="zh-CN"/>
        </w:rPr>
        <w:t>2、服务要求</w:t>
      </w:r>
      <w:r>
        <w:rPr>
          <w:rFonts w:hint="eastAsia" w:ascii="宋体" w:hAnsi="宋体" w:cs="宋体"/>
          <w:b w:val="0"/>
          <w:bCs w:val="0"/>
          <w:sz w:val="21"/>
          <w:szCs w:val="21"/>
          <w:lang w:eastAsia="zh-CN"/>
        </w:rPr>
        <w:t>：</w:t>
      </w:r>
      <w:r>
        <w:rPr>
          <w:rFonts w:hint="eastAsia" w:ascii="宋体" w:hAnsi="宋体" w:eastAsia="宋体"/>
          <w:b w:val="0"/>
          <w:bCs w:val="0"/>
          <w:color w:val="000000"/>
          <w:sz w:val="21"/>
          <w:szCs w:val="21"/>
          <w:lang w:val="zh-CN"/>
        </w:rPr>
        <w:t>在维护服务期内，由</w:t>
      </w:r>
      <w:r>
        <w:rPr>
          <w:rFonts w:hint="eastAsia" w:ascii="宋体" w:hAnsi="宋体" w:eastAsia="宋体"/>
          <w:b w:val="0"/>
          <w:bCs w:val="0"/>
          <w:color w:val="000000"/>
          <w:sz w:val="21"/>
          <w:szCs w:val="21"/>
          <w:lang w:val="en-US" w:eastAsia="zh-CN"/>
        </w:rPr>
        <w:t>入围供应商</w:t>
      </w:r>
      <w:r>
        <w:rPr>
          <w:rFonts w:hint="eastAsia" w:ascii="宋体" w:hAnsi="宋体" w:eastAsia="宋体"/>
          <w:b w:val="0"/>
          <w:bCs w:val="0"/>
          <w:color w:val="000000"/>
          <w:sz w:val="21"/>
          <w:szCs w:val="21"/>
          <w:lang w:val="zh-CN"/>
        </w:rPr>
        <w:t>为院方提供医院质量管理与绩效评价平台维护服务。</w:t>
      </w:r>
    </w:p>
    <w:tbl>
      <w:tblPr>
        <w:tblStyle w:val="11"/>
        <w:tblW w:w="9215" w:type="dxa"/>
        <w:tblInd w:w="-441" w:type="dxa"/>
        <w:tblLayout w:type="fixed"/>
        <w:tblCellMar>
          <w:top w:w="0" w:type="dxa"/>
          <w:left w:w="28" w:type="dxa"/>
          <w:bottom w:w="0" w:type="dxa"/>
          <w:right w:w="28" w:type="dxa"/>
        </w:tblCellMar>
      </w:tblPr>
      <w:tblGrid>
        <w:gridCol w:w="568"/>
        <w:gridCol w:w="992"/>
        <w:gridCol w:w="4536"/>
        <w:gridCol w:w="1985"/>
        <w:gridCol w:w="1134"/>
      </w:tblGrid>
      <w:tr>
        <w:tblPrEx>
          <w:tblCellMar>
            <w:top w:w="0" w:type="dxa"/>
            <w:left w:w="28" w:type="dxa"/>
            <w:bottom w:w="0" w:type="dxa"/>
            <w:right w:w="28" w:type="dxa"/>
          </w:tblCellMar>
        </w:tblPrEx>
        <w:trPr>
          <w:trHeight w:val="866"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b/>
                <w:bCs/>
                <w:sz w:val="21"/>
                <w:szCs w:val="21"/>
              </w:rPr>
              <w:t>序号</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b/>
                <w:bCs/>
                <w:sz w:val="21"/>
                <w:szCs w:val="21"/>
              </w:rPr>
            </w:pPr>
            <w:r>
              <w:rPr>
                <w:rFonts w:hint="eastAsia" w:ascii="宋体" w:hAnsi="宋体" w:eastAsia="宋体" w:cs="宋体"/>
                <w:b/>
                <w:bCs/>
                <w:sz w:val="21"/>
                <w:szCs w:val="21"/>
              </w:rPr>
              <w:t>服务项目</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服务内容（均限定为合同范围）</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服务方式</w:t>
            </w:r>
          </w:p>
        </w:tc>
        <w:tc>
          <w:tcPr>
            <w:tcW w:w="1134" w:type="dxa"/>
            <w:tcBorders>
              <w:top w:val="single" w:color="000000" w:sz="12" w:space="0"/>
              <w:left w:val="single" w:color="000000" w:sz="6" w:space="0"/>
              <w:right w:val="single" w:color="auto" w:sz="4"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响应时间（工作日）</w:t>
            </w:r>
          </w:p>
        </w:tc>
      </w:tr>
      <w:tr>
        <w:tblPrEx>
          <w:tblCellMar>
            <w:top w:w="0" w:type="dxa"/>
            <w:left w:w="28" w:type="dxa"/>
            <w:bottom w:w="0" w:type="dxa"/>
            <w:right w:w="28" w:type="dxa"/>
          </w:tblCellMar>
        </w:tblPrEx>
        <w:trPr>
          <w:trHeight w:val="538"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软件功能适应性维护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1</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咨询服务</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软件功能的应用咨询</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2小时内响应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2</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bCs/>
                <w:sz w:val="21"/>
                <w:szCs w:val="21"/>
              </w:rPr>
            </w:pPr>
            <w:r>
              <w:rPr>
                <w:rFonts w:hint="eastAsia" w:ascii="宋体" w:hAnsi="宋体" w:eastAsia="宋体" w:cs="宋体"/>
                <w:bCs/>
                <w:sz w:val="21"/>
                <w:szCs w:val="21"/>
              </w:rPr>
              <w:t>故障排除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bCs/>
                <w:sz w:val="21"/>
                <w:szCs w:val="21"/>
              </w:rPr>
              <w:t>软件应用过程中出现功能错误，协助查找、排除软件故障，保证系统功能正常运行。</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1小时内响应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3</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数据维护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无法由采购方自行完成的数据字典维护；</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3小时内响应</w:t>
            </w:r>
          </w:p>
        </w:tc>
      </w:tr>
      <w:tr>
        <w:tblPrEx>
          <w:tblCellMar>
            <w:top w:w="0" w:type="dxa"/>
            <w:left w:w="28" w:type="dxa"/>
            <w:bottom w:w="0" w:type="dxa"/>
            <w:right w:w="28" w:type="dxa"/>
          </w:tblCellMar>
        </w:tblPrEx>
        <w:trPr>
          <w:trHeight w:val="647" w:hRule="atLeast"/>
        </w:trPr>
        <w:tc>
          <w:tcPr>
            <w:tcW w:w="9215" w:type="dxa"/>
            <w:gridSpan w:val="5"/>
            <w:tcBorders>
              <w:top w:val="single" w:color="000000" w:sz="12" w:space="0"/>
              <w:left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color w:val="000000"/>
                <w:sz w:val="21"/>
                <w:szCs w:val="21"/>
                <w:lang w:val="zh-CN"/>
              </w:rPr>
              <w:t>数据维护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992" w:type="dxa"/>
            <w:tcBorders>
              <w:top w:val="single" w:color="000000" w:sz="12" w:space="0"/>
              <w:left w:val="single" w:color="auto" w:sz="4" w:space="0"/>
              <w:right w:val="single" w:color="auto" w:sz="4"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特殊服务</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color w:val="000000"/>
                <w:sz w:val="21"/>
                <w:szCs w:val="21"/>
                <w:lang w:val="zh-CN"/>
              </w:rPr>
              <w:t>系统灾难发生时，</w:t>
            </w:r>
            <w:r>
              <w:rPr>
                <w:rFonts w:hint="eastAsia" w:ascii="宋体" w:hAnsi="宋体" w:eastAsia="宋体" w:cs="宋体"/>
                <w:color w:val="000000"/>
                <w:sz w:val="21"/>
                <w:szCs w:val="21"/>
                <w:lang w:val="en-US" w:eastAsia="zh-CN"/>
              </w:rPr>
              <w:t>入围供应商</w:t>
            </w:r>
            <w:r>
              <w:rPr>
                <w:rFonts w:hint="eastAsia" w:ascii="宋体" w:hAnsi="宋体" w:eastAsia="宋体" w:cs="宋体"/>
                <w:color w:val="000000"/>
                <w:sz w:val="21"/>
                <w:szCs w:val="21"/>
                <w:lang w:val="zh-CN"/>
              </w:rPr>
              <w:t>承诺立即响应，减少数据损失，降低灾难对整个系统正常运行的影响。</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立即响应</w:t>
            </w:r>
          </w:p>
        </w:tc>
      </w:tr>
      <w:tr>
        <w:tblPrEx>
          <w:tblCellMar>
            <w:top w:w="0" w:type="dxa"/>
            <w:left w:w="28" w:type="dxa"/>
            <w:bottom w:w="0" w:type="dxa"/>
            <w:right w:w="28" w:type="dxa"/>
          </w:tblCellMar>
        </w:tblPrEx>
        <w:trPr>
          <w:trHeight w:val="266"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纠错性维护</w:t>
            </w:r>
          </w:p>
        </w:tc>
      </w:tr>
      <w:tr>
        <w:tblPrEx>
          <w:tblCellMar>
            <w:top w:w="0" w:type="dxa"/>
            <w:left w:w="28" w:type="dxa"/>
            <w:bottom w:w="0" w:type="dxa"/>
            <w:right w:w="28" w:type="dxa"/>
          </w:tblCellMar>
        </w:tblPrEx>
        <w:trPr>
          <w:trHeight w:val="158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数据适应功能性调整</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由于程序修改或增加功能所引起的数据错误的改正；</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4小时内响应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992" w:type="dxa"/>
            <w:tcBorders>
              <w:top w:val="single" w:color="000000" w:sz="12" w:space="0"/>
              <w:left w:val="single" w:color="auto" w:sz="4"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数据调整</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因</w:t>
            </w:r>
            <w:r>
              <w:rPr>
                <w:rFonts w:hint="eastAsia" w:ascii="宋体" w:hAnsi="宋体" w:eastAsia="宋体" w:cs="宋体"/>
                <w:sz w:val="21"/>
                <w:szCs w:val="21"/>
                <w:lang w:val="en-US" w:eastAsia="zh-CN"/>
              </w:rPr>
              <w:t>采购方</w:t>
            </w:r>
            <w:r>
              <w:rPr>
                <w:rFonts w:hint="eastAsia" w:ascii="宋体" w:hAnsi="宋体" w:eastAsia="宋体" w:cs="宋体"/>
                <w:sz w:val="21"/>
                <w:szCs w:val="21"/>
              </w:rPr>
              <w:t>操作不当或其它原因造成数据出现部分或全部错误，协助</w:t>
            </w:r>
            <w:r>
              <w:rPr>
                <w:rFonts w:hint="eastAsia" w:ascii="宋体" w:hAnsi="宋体" w:eastAsia="宋体" w:cs="宋体"/>
                <w:sz w:val="21"/>
                <w:szCs w:val="21"/>
                <w:lang w:val="en-US" w:eastAsia="zh-CN"/>
              </w:rPr>
              <w:t>采购方</w:t>
            </w:r>
            <w:r>
              <w:rPr>
                <w:rFonts w:hint="eastAsia" w:ascii="宋体" w:hAnsi="宋体" w:eastAsia="宋体" w:cs="宋体"/>
                <w:sz w:val="21"/>
                <w:szCs w:val="21"/>
              </w:rPr>
              <w:t>系统维护人员进行数据调整。</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Cs/>
                <w:sz w:val="21"/>
                <w:szCs w:val="21"/>
              </w:rPr>
            </w:pPr>
            <w:r>
              <w:rPr>
                <w:rFonts w:hint="eastAsia" w:ascii="宋体" w:hAnsi="宋体" w:eastAsia="宋体" w:cs="宋体"/>
                <w:sz w:val="21"/>
                <w:szCs w:val="21"/>
              </w:rPr>
              <w:t>2小时内响应</w:t>
            </w:r>
          </w:p>
        </w:tc>
      </w:tr>
      <w:tr>
        <w:tblPrEx>
          <w:tblCellMar>
            <w:top w:w="0" w:type="dxa"/>
            <w:left w:w="28" w:type="dxa"/>
            <w:bottom w:w="0" w:type="dxa"/>
            <w:right w:w="28" w:type="dxa"/>
          </w:tblCellMar>
        </w:tblPrEx>
        <w:trPr>
          <w:trHeight w:val="266"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功能应用维护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日常维护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bCs/>
                <w:sz w:val="21"/>
                <w:szCs w:val="21"/>
              </w:rPr>
              <w:t>协助</w:t>
            </w:r>
            <w:r>
              <w:rPr>
                <w:rFonts w:hint="eastAsia" w:ascii="宋体" w:hAnsi="宋体" w:eastAsia="宋体" w:cs="宋体"/>
                <w:bCs/>
                <w:sz w:val="21"/>
                <w:szCs w:val="21"/>
                <w:lang w:val="en-US" w:eastAsia="zh-CN"/>
              </w:rPr>
              <w:t>采购方</w:t>
            </w:r>
            <w:r>
              <w:rPr>
                <w:rFonts w:hint="eastAsia" w:ascii="宋体" w:hAnsi="宋体" w:eastAsia="宋体" w:cs="宋体"/>
                <w:color w:val="000000"/>
                <w:sz w:val="21"/>
                <w:szCs w:val="21"/>
                <w:lang w:val="zh-CN"/>
              </w:rPr>
              <w:t>建立日常维护记录，定期与</w:t>
            </w:r>
            <w:r>
              <w:rPr>
                <w:rFonts w:hint="eastAsia" w:ascii="宋体" w:hAnsi="宋体" w:eastAsia="宋体" w:cs="宋体"/>
                <w:color w:val="000000"/>
                <w:sz w:val="21"/>
                <w:szCs w:val="21"/>
                <w:lang w:val="en-US" w:eastAsia="zh-CN"/>
              </w:rPr>
              <w:t>采购方</w:t>
            </w:r>
            <w:r>
              <w:rPr>
                <w:rFonts w:hint="eastAsia" w:ascii="宋体" w:hAnsi="宋体" w:eastAsia="宋体" w:cs="宋体"/>
                <w:color w:val="000000"/>
                <w:sz w:val="21"/>
                <w:szCs w:val="21"/>
                <w:lang w:val="zh-CN"/>
              </w:rPr>
              <w:t>系统管理人员共同检查系统运行情况，并形成系统维护记录制度和系统管理规范</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日常</w:t>
            </w:r>
          </w:p>
        </w:tc>
      </w:tr>
      <w:tr>
        <w:tblPrEx>
          <w:tblCellMar>
            <w:top w:w="0" w:type="dxa"/>
            <w:left w:w="28" w:type="dxa"/>
            <w:bottom w:w="0" w:type="dxa"/>
            <w:right w:w="28" w:type="dxa"/>
          </w:tblCellMar>
        </w:tblPrEx>
        <w:trPr>
          <w:trHeight w:val="647"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color w:val="000000"/>
                <w:sz w:val="21"/>
                <w:szCs w:val="21"/>
                <w:lang w:val="zh-CN"/>
              </w:rPr>
              <w:t>培训</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Cs/>
                <w:sz w:val="21"/>
                <w:szCs w:val="21"/>
              </w:rPr>
            </w:pPr>
            <w:r>
              <w:rPr>
                <w:rFonts w:hint="eastAsia" w:ascii="宋体" w:hAnsi="宋体" w:eastAsia="宋体" w:cs="宋体"/>
                <w:bCs/>
                <w:sz w:val="21"/>
                <w:szCs w:val="21"/>
              </w:rPr>
              <w:t>维护培训</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对采购方系统管理员进行基本的数据维护培训；</w:t>
            </w:r>
          </w:p>
          <w:p>
            <w:pPr>
              <w:autoSpaceDE w:val="0"/>
              <w:autoSpaceDN w:val="0"/>
              <w:jc w:val="left"/>
              <w:textAlignment w:val="bottom"/>
              <w:rPr>
                <w:rFonts w:hint="eastAsia" w:ascii="宋体" w:hAnsi="宋体" w:eastAsia="宋体" w:cs="宋体"/>
                <w:b/>
                <w:bCs/>
                <w:sz w:val="21"/>
                <w:szCs w:val="21"/>
              </w:rPr>
            </w:pPr>
            <w:r>
              <w:rPr>
                <w:rFonts w:hint="eastAsia" w:ascii="宋体" w:hAnsi="宋体" w:eastAsia="宋体" w:cs="宋体"/>
                <w:sz w:val="21"/>
                <w:szCs w:val="21"/>
              </w:rPr>
              <w:t>因</w:t>
            </w:r>
            <w:r>
              <w:rPr>
                <w:rFonts w:hint="eastAsia" w:ascii="宋体" w:hAnsi="宋体" w:eastAsia="宋体" w:cs="宋体"/>
                <w:sz w:val="21"/>
                <w:szCs w:val="21"/>
                <w:lang w:val="en-US" w:eastAsia="zh-CN"/>
              </w:rPr>
              <w:t>采购方</w:t>
            </w:r>
            <w:r>
              <w:rPr>
                <w:rFonts w:hint="eastAsia" w:ascii="宋体" w:hAnsi="宋体" w:eastAsia="宋体" w:cs="宋体"/>
                <w:sz w:val="21"/>
                <w:szCs w:val="21"/>
              </w:rPr>
              <w:t>人员离职或岗位调动需要进行培训的系统维护人员。</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远程培训或现场</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t>法定工作日预约</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Cs/>
                <w:sz w:val="21"/>
                <w:szCs w:val="21"/>
              </w:rPr>
            </w:pPr>
            <w:r>
              <w:rPr>
                <w:rFonts w:hint="eastAsia" w:ascii="宋体" w:hAnsi="宋体" w:eastAsia="宋体" w:cs="宋体"/>
                <w:sz w:val="21"/>
                <w:szCs w:val="21"/>
              </w:rPr>
              <w:t>热线服务</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提供与软件系统相关的咨询服务</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法定工作日</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问题解答</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color w:val="000000"/>
                <w:sz w:val="21"/>
                <w:szCs w:val="21"/>
                <w:lang w:val="zh-CN"/>
              </w:rPr>
              <w:t>解答管理部门针对系统及数据库疑难问题。</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法定工作日</w:t>
            </w:r>
          </w:p>
        </w:tc>
      </w:tr>
    </w:tbl>
    <w:p>
      <w:pPr>
        <w:spacing w:line="360" w:lineRule="auto"/>
        <w:rPr>
          <w:rFonts w:hint="eastAsia"/>
          <w:lang w:val="en-US" w:eastAsia="zh-CN"/>
        </w:rPr>
      </w:pPr>
    </w:p>
    <w:p>
      <w:pPr>
        <w:spacing w:line="460" w:lineRule="exact"/>
        <w:ind w:firstLine="422" w:firstLineChars="200"/>
        <w:rPr>
          <w:rFonts w:hint="eastAsia"/>
          <w:b/>
          <w:bCs/>
          <w:lang w:val="en-US" w:eastAsia="zh-CN"/>
        </w:rPr>
      </w:pPr>
      <w:r>
        <w:rPr>
          <w:rFonts w:hint="eastAsia"/>
          <w:b/>
          <w:bCs/>
          <w:lang w:val="en-US" w:eastAsia="zh-CN"/>
        </w:rPr>
        <w:t>五、付款方式：</w:t>
      </w:r>
    </w:p>
    <w:p>
      <w:pPr>
        <w:spacing w:line="460" w:lineRule="exact"/>
        <w:ind w:firstLine="420" w:firstLineChars="200"/>
        <w:rPr>
          <w:rFonts w:hint="eastAsia"/>
          <w:lang w:val="en-US" w:eastAsia="zh-CN"/>
        </w:rPr>
      </w:pPr>
      <w:r>
        <w:rPr>
          <w:rFonts w:hint="eastAsia"/>
          <w:lang w:val="en-US" w:eastAsia="zh-CN"/>
        </w:rPr>
        <w:t>在服务期半年期满后三个月内，乙方提供合法有效发票后，甲方支付合同总金额的50%；服务期满后三个月内，乙方提供合法有效发票后，甲方支付合同总金额的50%。</w:t>
      </w:r>
    </w:p>
    <w:p>
      <w:pPr>
        <w:spacing w:line="460" w:lineRule="exact"/>
        <w:ind w:firstLine="420" w:firstLineChars="200"/>
        <w:rPr>
          <w:rFonts w:hint="eastAsia"/>
          <w:lang w:val="en-US" w:eastAsia="zh-CN"/>
        </w:rPr>
      </w:pPr>
      <w:r>
        <w:rPr>
          <w:rFonts w:hint="eastAsia"/>
          <w:lang w:val="en-US" w:eastAsia="zh-CN"/>
        </w:rPr>
        <w:t>乙方未开具合格发票、或所开发票无法通过税务认证、或发票信息与合同约定不符的，甲方有权暂缓支付相应款项，且不构成甲方违约。</w:t>
      </w:r>
    </w:p>
    <w:p>
      <w:pPr>
        <w:pStyle w:val="3"/>
        <w:rPr>
          <w:rFonts w:hint="eastAsia"/>
          <w:lang w:val="en-US" w:eastAsia="zh-CN"/>
        </w:rPr>
      </w:pPr>
    </w:p>
    <w:p>
      <w:pPr>
        <w:spacing w:line="460" w:lineRule="exact"/>
        <w:ind w:firstLine="422" w:firstLineChars="200"/>
        <w:rPr>
          <w:rFonts w:hint="default"/>
          <w:b/>
          <w:bCs/>
          <w:lang w:val="en-US" w:eastAsia="zh-CN"/>
        </w:rPr>
      </w:pPr>
      <w:r>
        <w:rPr>
          <w:rFonts w:hint="eastAsia"/>
          <w:b/>
          <w:bCs/>
          <w:lang w:val="en-US" w:eastAsia="zh-CN"/>
        </w:rPr>
        <w:t>六、服务期限</w:t>
      </w:r>
    </w:p>
    <w:p>
      <w:pPr>
        <w:spacing w:line="460" w:lineRule="exact"/>
        <w:ind w:firstLine="420" w:firstLineChars="200"/>
        <w:rPr>
          <w:rFonts w:hint="default" w:ascii="Times New Roman" w:hAnsi="Times New Roman" w:eastAsia="宋体" w:cs="Times New Roman"/>
          <w:color w:val="auto"/>
          <w:sz w:val="22"/>
          <w:szCs w:val="22"/>
          <w:highlight w:val="none"/>
          <w:lang w:val="en-US" w:eastAsia="zh-CN"/>
        </w:rPr>
      </w:pPr>
      <w:r>
        <w:rPr>
          <w:rFonts w:hint="eastAsia"/>
          <w:lang w:val="en-US" w:eastAsia="zh-CN"/>
        </w:rPr>
        <w:t>1、</w:t>
      </w:r>
      <w:r>
        <w:rPr>
          <w:rFonts w:hint="eastAsia"/>
        </w:rPr>
        <w:t>服务期：</w:t>
      </w:r>
      <w:r>
        <w:rPr>
          <w:rFonts w:hint="eastAsia"/>
          <w:lang w:val="en-US" w:eastAsia="zh-CN"/>
        </w:rPr>
        <w:t>1年，</w:t>
      </w:r>
      <w:r>
        <w:rPr>
          <w:rFonts w:hint="eastAsia"/>
          <w:u w:val="none"/>
          <w:lang w:val="en-US" w:eastAsia="zh-CN"/>
        </w:rPr>
        <w:t>自合同签订之日起计。</w:t>
      </w:r>
      <w:r>
        <w:rPr>
          <w:rFonts w:hint="eastAsia"/>
          <w:b w:val="0"/>
          <w:bCs/>
          <w:color w:val="auto"/>
          <w:sz w:val="22"/>
          <w:szCs w:val="22"/>
          <w:highlight w:val="none"/>
        </w:rPr>
        <w:t>合作期内如遇政策性原因或其他</w:t>
      </w:r>
      <w:r>
        <w:rPr>
          <w:rFonts w:hint="eastAsia"/>
          <w:b w:val="0"/>
          <w:bCs/>
          <w:color w:val="auto"/>
          <w:sz w:val="22"/>
          <w:szCs w:val="22"/>
          <w:highlight w:val="none"/>
          <w:lang w:val="en-US" w:eastAsia="zh-CN"/>
        </w:rPr>
        <w:t>不可抗力</w:t>
      </w:r>
      <w:r>
        <w:rPr>
          <w:rFonts w:hint="eastAsia"/>
          <w:b w:val="0"/>
          <w:bCs/>
          <w:color w:val="auto"/>
          <w:sz w:val="22"/>
          <w:szCs w:val="22"/>
          <w:highlight w:val="none"/>
        </w:rPr>
        <w:t>因素导致合同无法履行，则合同自行终止。</w:t>
      </w:r>
    </w:p>
    <w:p>
      <w:pPr>
        <w:numPr>
          <w:ilvl w:val="0"/>
          <w:numId w:val="0"/>
        </w:numPr>
        <w:spacing w:line="360" w:lineRule="auto"/>
        <w:ind w:firstLine="420" w:firstLineChars="200"/>
        <w:rPr>
          <w:rFonts w:hint="default"/>
          <w:lang w:val="en-US" w:eastAsia="zh-CN"/>
        </w:rPr>
      </w:pPr>
    </w:p>
    <w:p>
      <w:pPr>
        <w:pStyle w:val="3"/>
        <w:rPr>
          <w:rFonts w:hint="default"/>
          <w:lang w:val="en-US" w:eastAsia="zh-CN"/>
        </w:rPr>
      </w:pPr>
    </w:p>
    <w:p>
      <w:pPr>
        <w:rPr>
          <w:rFonts w:hint="default"/>
          <w:lang w:val="en-US" w:eastAsia="zh-CN"/>
        </w:rPr>
      </w:pPr>
    </w:p>
    <w:p>
      <w:pPr>
        <w:spacing w:line="600" w:lineRule="auto"/>
        <w:jc w:val="center"/>
        <w:rPr>
          <w:rFonts w:hint="eastAsia" w:ascii="楷体" w:hAnsi="楷体" w:eastAsia="楷体" w:cs="楷体"/>
          <w:color w:val="auto"/>
          <w:sz w:val="44"/>
          <w:szCs w:val="44"/>
          <w:highlight w:val="none"/>
        </w:rPr>
      </w:pPr>
      <w:r>
        <w:rPr>
          <w:rFonts w:hint="eastAsia" w:ascii="楷体" w:hAnsi="楷体" w:eastAsia="楷体" w:cs="楷体"/>
          <w:color w:val="auto"/>
          <w:sz w:val="44"/>
          <w:szCs w:val="44"/>
          <w:highlight w:val="none"/>
        </w:rPr>
        <w:t>温州市中医院</w:t>
      </w:r>
    </w:p>
    <w:p>
      <w:pPr>
        <w:spacing w:line="600" w:lineRule="auto"/>
        <w:jc w:val="center"/>
        <w:rPr>
          <w:rFonts w:hint="eastAsia" w:ascii="楷体" w:hAnsi="楷体" w:eastAsia="楷体" w:cs="楷体"/>
          <w:color w:val="auto"/>
          <w:sz w:val="44"/>
          <w:szCs w:val="44"/>
          <w:highlight w:val="none"/>
        </w:rPr>
      </w:pPr>
      <w:r>
        <w:rPr>
          <w:rFonts w:hint="eastAsia" w:ascii="楷体" w:hAnsi="楷体" w:eastAsia="楷体" w:cs="楷体"/>
          <w:color w:val="auto"/>
          <w:sz w:val="44"/>
          <w:szCs w:val="44"/>
          <w:highlight w:val="none"/>
          <w:lang w:val="en-US" w:eastAsia="zh-CN"/>
        </w:rPr>
        <w:t>浙江省</w:t>
      </w:r>
      <w:r>
        <w:rPr>
          <w:rFonts w:hint="eastAsia" w:ascii="楷体" w:hAnsi="楷体" w:eastAsia="楷体" w:cs="楷体"/>
          <w:color w:val="auto"/>
          <w:sz w:val="44"/>
          <w:szCs w:val="44"/>
          <w:highlight w:val="none"/>
        </w:rPr>
        <w:t>医院质量管理与绩效评价平台</w:t>
      </w:r>
    </w:p>
    <w:p>
      <w:pPr>
        <w:spacing w:line="600" w:lineRule="auto"/>
        <w:jc w:val="center"/>
        <w:rPr>
          <w:rFonts w:hint="eastAsia" w:ascii="楷体" w:hAnsi="楷体" w:eastAsia="楷体" w:cs="楷体"/>
          <w:color w:val="auto"/>
          <w:sz w:val="44"/>
          <w:szCs w:val="44"/>
          <w:highlight w:val="none"/>
        </w:rPr>
      </w:pPr>
      <w:r>
        <w:rPr>
          <w:rFonts w:hint="eastAsia" w:ascii="楷体" w:hAnsi="楷体" w:eastAsia="楷体" w:cs="楷体"/>
          <w:color w:val="auto"/>
          <w:sz w:val="44"/>
          <w:szCs w:val="44"/>
          <w:highlight w:val="none"/>
        </w:rPr>
        <w:t>服务合同</w:t>
      </w: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p>
      <w:pPr>
        <w:rPr>
          <w:rFonts w:hint="eastAsia" w:ascii="楷体" w:hAnsi="楷体" w:eastAsia="楷体" w:cs="楷体"/>
          <w:b/>
          <w:bCs/>
          <w:color w:val="auto"/>
          <w:sz w:val="30"/>
          <w:szCs w:val="30"/>
          <w:highlight w:val="none"/>
        </w:rPr>
      </w:pPr>
    </w:p>
    <w:tbl>
      <w:tblPr>
        <w:tblStyle w:val="11"/>
        <w:tblpPr w:leftFromText="180" w:rightFromText="180" w:vertAnchor="text" w:horzAnchor="page" w:tblpX="2901" w:tblpY="1143"/>
        <w:tblOverlap w:val="never"/>
        <w:tblW w:w="0" w:type="auto"/>
        <w:tblInd w:w="0" w:type="dxa"/>
        <w:tblLayout w:type="autofit"/>
        <w:tblCellMar>
          <w:top w:w="0" w:type="dxa"/>
          <w:left w:w="108" w:type="dxa"/>
          <w:bottom w:w="0" w:type="dxa"/>
          <w:right w:w="108" w:type="dxa"/>
        </w:tblCellMar>
      </w:tblPr>
      <w:tblGrid>
        <w:gridCol w:w="1645"/>
        <w:gridCol w:w="4734"/>
      </w:tblGrid>
      <w:tr>
        <w:tblPrEx>
          <w:tblCellMar>
            <w:top w:w="0" w:type="dxa"/>
            <w:left w:w="108" w:type="dxa"/>
            <w:bottom w:w="0" w:type="dxa"/>
            <w:right w:w="108" w:type="dxa"/>
          </w:tblCellMar>
        </w:tblPrEx>
        <w:tc>
          <w:tcPr>
            <w:tcW w:w="1645" w:type="dxa"/>
            <w:noWrap w:val="0"/>
            <w:vAlign w:val="top"/>
          </w:tcPr>
          <w:p>
            <w:pPr>
              <w:spacing w:line="360" w:lineRule="auto"/>
              <w:jc w:val="left"/>
              <w:rPr>
                <w:rFonts w:hint="eastAsia" w:ascii="楷体" w:hAnsi="楷体" w:eastAsia="楷体" w:cs="楷体"/>
                <w:color w:val="auto"/>
                <w:sz w:val="30"/>
                <w:szCs w:val="30"/>
                <w:highlight w:val="none"/>
              </w:rPr>
            </w:pPr>
            <w:bookmarkStart w:id="0" w:name="_Hlk70880968"/>
            <w:r>
              <w:rPr>
                <w:rFonts w:hint="eastAsia" w:ascii="楷体" w:hAnsi="楷体" w:eastAsia="楷体" w:cs="楷体"/>
                <w:color w:val="auto"/>
                <w:sz w:val="30"/>
                <w:szCs w:val="30"/>
                <w:highlight w:val="none"/>
              </w:rPr>
              <w:t>甲    方：</w:t>
            </w:r>
          </w:p>
        </w:tc>
        <w:tc>
          <w:tcPr>
            <w:tcW w:w="4734" w:type="dxa"/>
            <w:noWrap w:val="0"/>
            <w:vAlign w:val="top"/>
          </w:tcPr>
          <w:p>
            <w:pPr>
              <w:spacing w:line="360" w:lineRule="auto"/>
              <w:rPr>
                <w:rFonts w:hint="eastAsia" w:ascii="楷体" w:hAnsi="楷体" w:eastAsia="楷体" w:cs="楷体"/>
                <w:color w:val="auto"/>
                <w:sz w:val="30"/>
                <w:szCs w:val="30"/>
                <w:highlight w:val="none"/>
              </w:rPr>
            </w:pPr>
            <w:r>
              <w:rPr>
                <w:rFonts w:hint="eastAsia" w:ascii="楷体" w:hAnsi="楷体" w:eastAsia="楷体" w:cs="楷体"/>
                <w:color w:val="auto"/>
                <w:sz w:val="30"/>
                <w:szCs w:val="30"/>
                <w:highlight w:val="none"/>
              </w:rPr>
              <w:t>温州市中医院</w:t>
            </w:r>
          </w:p>
        </w:tc>
      </w:tr>
      <w:tr>
        <w:tblPrEx>
          <w:tblCellMar>
            <w:top w:w="0" w:type="dxa"/>
            <w:left w:w="108" w:type="dxa"/>
            <w:bottom w:w="0" w:type="dxa"/>
            <w:right w:w="108" w:type="dxa"/>
          </w:tblCellMar>
        </w:tblPrEx>
        <w:tc>
          <w:tcPr>
            <w:tcW w:w="1645" w:type="dxa"/>
            <w:noWrap w:val="0"/>
            <w:vAlign w:val="top"/>
          </w:tcPr>
          <w:p>
            <w:pPr>
              <w:spacing w:line="360" w:lineRule="auto"/>
              <w:jc w:val="left"/>
              <w:rPr>
                <w:rFonts w:hint="eastAsia" w:ascii="楷体" w:hAnsi="楷体" w:eastAsia="楷体" w:cs="楷体"/>
                <w:color w:val="auto"/>
                <w:sz w:val="30"/>
                <w:szCs w:val="30"/>
                <w:highlight w:val="none"/>
              </w:rPr>
            </w:pPr>
            <w:r>
              <w:rPr>
                <w:rFonts w:hint="eastAsia" w:ascii="楷体" w:hAnsi="楷体" w:eastAsia="楷体" w:cs="楷体"/>
                <w:color w:val="auto"/>
                <w:sz w:val="30"/>
                <w:szCs w:val="30"/>
                <w:highlight w:val="none"/>
              </w:rPr>
              <w:t>乙    方：</w:t>
            </w:r>
          </w:p>
        </w:tc>
        <w:tc>
          <w:tcPr>
            <w:tcW w:w="4734" w:type="dxa"/>
            <w:noWrap w:val="0"/>
            <w:vAlign w:val="top"/>
          </w:tcPr>
          <w:p>
            <w:pPr>
              <w:spacing w:line="360" w:lineRule="auto"/>
              <w:rPr>
                <w:rFonts w:hint="eastAsia" w:ascii="楷体" w:hAnsi="楷体" w:eastAsia="楷体" w:cs="楷体"/>
                <w:color w:val="auto"/>
                <w:sz w:val="30"/>
                <w:szCs w:val="30"/>
                <w:highlight w:val="none"/>
              </w:rPr>
            </w:pPr>
          </w:p>
        </w:tc>
      </w:tr>
      <w:tr>
        <w:tblPrEx>
          <w:tblCellMar>
            <w:top w:w="0" w:type="dxa"/>
            <w:left w:w="108" w:type="dxa"/>
            <w:bottom w:w="0" w:type="dxa"/>
            <w:right w:w="108" w:type="dxa"/>
          </w:tblCellMar>
        </w:tblPrEx>
        <w:tc>
          <w:tcPr>
            <w:tcW w:w="1645" w:type="dxa"/>
            <w:noWrap w:val="0"/>
            <w:vAlign w:val="top"/>
          </w:tcPr>
          <w:p>
            <w:pPr>
              <w:spacing w:line="360" w:lineRule="auto"/>
              <w:jc w:val="right"/>
              <w:rPr>
                <w:rFonts w:hint="eastAsia" w:ascii="楷体" w:hAnsi="楷体" w:eastAsia="楷体" w:cs="楷体"/>
                <w:color w:val="auto"/>
                <w:sz w:val="30"/>
                <w:szCs w:val="30"/>
                <w:highlight w:val="none"/>
              </w:rPr>
            </w:pPr>
            <w:r>
              <w:rPr>
                <w:rFonts w:hint="eastAsia" w:ascii="楷体" w:hAnsi="楷体" w:eastAsia="楷体" w:cs="楷体"/>
                <w:color w:val="auto"/>
                <w:sz w:val="30"/>
                <w:szCs w:val="30"/>
                <w:highlight w:val="none"/>
              </w:rPr>
              <w:t>合同编号：</w:t>
            </w:r>
          </w:p>
        </w:tc>
        <w:tc>
          <w:tcPr>
            <w:tcW w:w="4734" w:type="dxa"/>
            <w:noWrap w:val="0"/>
            <w:vAlign w:val="top"/>
          </w:tcPr>
          <w:p>
            <w:pPr>
              <w:spacing w:line="360" w:lineRule="auto"/>
              <w:rPr>
                <w:rFonts w:hint="eastAsia" w:ascii="楷体" w:hAnsi="楷体" w:eastAsia="楷体" w:cs="楷体"/>
                <w:color w:val="auto"/>
                <w:sz w:val="30"/>
                <w:szCs w:val="30"/>
                <w:highlight w:val="none"/>
              </w:rPr>
            </w:pPr>
          </w:p>
        </w:tc>
      </w:tr>
      <w:bookmarkEnd w:id="0"/>
    </w:tbl>
    <w:p>
      <w:pPr>
        <w:pStyle w:val="4"/>
        <w:ind w:right="0" w:rightChars="0" w:firstLine="0" w:firstLineChars="0"/>
        <w:jc w:val="center"/>
        <w:rPr>
          <w:rFonts w:hint="eastAsia" w:ascii="楷体" w:hAnsi="楷体" w:eastAsia="楷体" w:cs="楷体"/>
          <w:color w:val="auto"/>
          <w:sz w:val="30"/>
          <w:szCs w:val="30"/>
          <w:highlight w:val="none"/>
        </w:rPr>
      </w:pPr>
      <w:r>
        <w:rPr>
          <w:rFonts w:hint="eastAsia" w:ascii="楷体" w:hAnsi="楷体" w:eastAsia="楷体" w:cs="楷体"/>
          <w:color w:val="auto"/>
          <w:highlight w:val="none"/>
        </w:rPr>
        <w:br w:type="page"/>
      </w:r>
      <w:r>
        <w:rPr>
          <w:rFonts w:hint="eastAsia" w:ascii="楷体" w:hAnsi="楷体" w:eastAsia="楷体" w:cs="楷体"/>
          <w:color w:val="auto"/>
          <w:sz w:val="30"/>
          <w:szCs w:val="30"/>
          <w:highlight w:val="none"/>
        </w:rPr>
        <w:t>第一章  签约方</w:t>
      </w:r>
    </w:p>
    <w:tbl>
      <w:tblPr>
        <w:tblStyle w:val="11"/>
        <w:tblW w:w="4409" w:type="pct"/>
        <w:tblInd w:w="534" w:type="dxa"/>
        <w:tblLayout w:type="autofit"/>
        <w:tblCellMar>
          <w:top w:w="0" w:type="dxa"/>
          <w:left w:w="108" w:type="dxa"/>
          <w:bottom w:w="0" w:type="dxa"/>
          <w:right w:w="108" w:type="dxa"/>
        </w:tblCellMar>
      </w:tblPr>
      <w:tblGrid>
        <w:gridCol w:w="1351"/>
        <w:gridCol w:w="3168"/>
        <w:gridCol w:w="17"/>
        <w:gridCol w:w="1416"/>
        <w:gridCol w:w="34"/>
        <w:gridCol w:w="1954"/>
      </w:tblGrid>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甲    方:</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温州市中医院</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地    址:</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温州市六虹桥蛟尾路9号</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电    话:</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0577-56671383</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邮政编码:</w:t>
            </w:r>
          </w:p>
        </w:tc>
        <w:tc>
          <w:tcPr>
            <w:tcW w:w="1995" w:type="pct"/>
            <w:noWrap w:val="0"/>
            <w:vAlign w:val="center"/>
          </w:tcPr>
          <w:p>
            <w:pPr>
              <w:rPr>
                <w:rFonts w:hint="eastAsia" w:ascii="楷体" w:hAnsi="楷体" w:eastAsia="楷体" w:cs="楷体"/>
                <w:color w:val="auto"/>
                <w:sz w:val="24"/>
                <w:szCs w:val="24"/>
                <w:highlight w:val="none"/>
              </w:rPr>
            </w:pPr>
          </w:p>
        </w:tc>
        <w:tc>
          <w:tcPr>
            <w:tcW w:w="924" w:type="pct"/>
            <w:gridSpan w:val="3"/>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传真号码:</w:t>
            </w:r>
          </w:p>
        </w:tc>
        <w:tc>
          <w:tcPr>
            <w:tcW w:w="1230" w:type="pct"/>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1" w:type="pct"/>
            <w:noWrap w:val="0"/>
            <w:vAlign w:val="center"/>
          </w:tcPr>
          <w:p>
            <w:pPr>
              <w:spacing w:line="360" w:lineRule="auto"/>
              <w:ind w:left="36" w:leftChars="17"/>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税    号:</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12330300470525522R</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开户银行:</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市工行胜利支行</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账    号:</w:t>
            </w:r>
          </w:p>
        </w:tc>
        <w:tc>
          <w:tcPr>
            <w:tcW w:w="4149" w:type="pct"/>
            <w:gridSpan w:val="5"/>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1203215209049901881</w:t>
            </w:r>
          </w:p>
        </w:tc>
      </w:tr>
      <w:tr>
        <w:tblPrEx>
          <w:tblCellMar>
            <w:top w:w="0" w:type="dxa"/>
            <w:left w:w="108" w:type="dxa"/>
            <w:bottom w:w="0" w:type="dxa"/>
            <w:right w:w="108" w:type="dxa"/>
          </w:tblCellMar>
        </w:tblPrEx>
        <w:tc>
          <w:tcPr>
            <w:tcW w:w="851"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联 系 人:</w:t>
            </w:r>
          </w:p>
        </w:tc>
        <w:tc>
          <w:tcPr>
            <w:tcW w:w="2006" w:type="pct"/>
            <w:gridSpan w:val="2"/>
            <w:noWrap w:val="0"/>
            <w:vAlign w:val="center"/>
          </w:tcPr>
          <w:p>
            <w:pPr>
              <w:rPr>
                <w:rFonts w:hint="eastAsia" w:ascii="楷体" w:hAnsi="楷体" w:eastAsia="楷体" w:cs="楷体"/>
                <w:color w:val="auto"/>
                <w:sz w:val="24"/>
                <w:szCs w:val="24"/>
                <w:highlight w:val="none"/>
              </w:rPr>
            </w:pPr>
          </w:p>
        </w:tc>
        <w:tc>
          <w:tcPr>
            <w:tcW w:w="892" w:type="pct"/>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联系电话:</w:t>
            </w:r>
          </w:p>
        </w:tc>
        <w:tc>
          <w:tcPr>
            <w:tcW w:w="1251" w:type="pct"/>
            <w:gridSpan w:val="2"/>
            <w:noWrap w:val="0"/>
            <w:vAlign w:val="center"/>
          </w:tcPr>
          <w:p>
            <w:pPr>
              <w:rPr>
                <w:rFonts w:hint="eastAsia" w:ascii="楷体" w:hAnsi="楷体" w:eastAsia="楷体" w:cs="楷体"/>
                <w:color w:val="auto"/>
                <w:sz w:val="24"/>
                <w:szCs w:val="24"/>
                <w:highlight w:val="none"/>
              </w:rPr>
            </w:pPr>
          </w:p>
        </w:tc>
      </w:tr>
    </w:tbl>
    <w:p>
      <w:pPr>
        <w:pStyle w:val="4"/>
        <w:ind w:firstLine="0" w:firstLineChars="0"/>
        <w:rPr>
          <w:rFonts w:hint="eastAsia" w:ascii="楷体" w:hAnsi="楷体" w:eastAsia="楷体" w:cs="楷体"/>
          <w:color w:val="auto"/>
          <w:szCs w:val="24"/>
          <w:highlight w:val="none"/>
        </w:rPr>
      </w:pPr>
    </w:p>
    <w:tbl>
      <w:tblPr>
        <w:tblStyle w:val="11"/>
        <w:tblW w:w="4409" w:type="pct"/>
        <w:tblInd w:w="534" w:type="dxa"/>
        <w:tblLayout w:type="autofit"/>
        <w:tblCellMar>
          <w:top w:w="0" w:type="dxa"/>
          <w:left w:w="108" w:type="dxa"/>
          <w:bottom w:w="0" w:type="dxa"/>
          <w:right w:w="108" w:type="dxa"/>
        </w:tblCellMar>
      </w:tblPr>
      <w:tblGrid>
        <w:gridCol w:w="1355"/>
        <w:gridCol w:w="3170"/>
        <w:gridCol w:w="16"/>
        <w:gridCol w:w="1416"/>
        <w:gridCol w:w="33"/>
        <w:gridCol w:w="1950"/>
      </w:tblGrid>
      <w:tr>
        <w:tblPrEx>
          <w:tblCellMar>
            <w:top w:w="0" w:type="dxa"/>
            <w:left w:w="108" w:type="dxa"/>
            <w:bottom w:w="0" w:type="dxa"/>
            <w:right w:w="108" w:type="dxa"/>
          </w:tblCellMar>
        </w:tblPrEx>
        <w:tc>
          <w:tcPr>
            <w:tcW w:w="853" w:type="pct"/>
            <w:noWrap w:val="0"/>
            <w:vAlign w:val="center"/>
          </w:tcPr>
          <w:p>
            <w:pPr>
              <w:spacing w:line="360" w:lineRule="auto"/>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乙    方:</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地    址:</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电    话:</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邮政编码:</w:t>
            </w:r>
          </w:p>
        </w:tc>
        <w:tc>
          <w:tcPr>
            <w:tcW w:w="1996" w:type="pct"/>
            <w:noWrap w:val="0"/>
            <w:vAlign w:val="center"/>
          </w:tcPr>
          <w:p>
            <w:pPr>
              <w:rPr>
                <w:rFonts w:hint="eastAsia" w:ascii="楷体" w:hAnsi="楷体" w:eastAsia="楷体" w:cs="楷体"/>
                <w:color w:val="auto"/>
                <w:sz w:val="24"/>
                <w:szCs w:val="24"/>
                <w:highlight w:val="none"/>
              </w:rPr>
            </w:pPr>
          </w:p>
        </w:tc>
        <w:tc>
          <w:tcPr>
            <w:tcW w:w="923" w:type="pct"/>
            <w:gridSpan w:val="3"/>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传真号码:</w:t>
            </w:r>
          </w:p>
        </w:tc>
        <w:tc>
          <w:tcPr>
            <w:tcW w:w="1228" w:type="pct"/>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ind w:left="36" w:leftChars="17"/>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税    号:</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开户银行:</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账    号:</w:t>
            </w:r>
          </w:p>
        </w:tc>
        <w:tc>
          <w:tcPr>
            <w:tcW w:w="4147" w:type="pct"/>
            <w:gridSpan w:val="5"/>
            <w:noWrap w:val="0"/>
            <w:vAlign w:val="center"/>
          </w:tcPr>
          <w:p>
            <w:pPr>
              <w:rPr>
                <w:rFonts w:hint="eastAsia" w:ascii="楷体" w:hAnsi="楷体" w:eastAsia="楷体" w:cs="楷体"/>
                <w:color w:val="auto"/>
                <w:sz w:val="24"/>
                <w:szCs w:val="24"/>
                <w:highlight w:val="none"/>
              </w:rPr>
            </w:pPr>
          </w:p>
        </w:tc>
      </w:tr>
      <w:tr>
        <w:tblPrEx>
          <w:tblCellMar>
            <w:top w:w="0" w:type="dxa"/>
            <w:left w:w="108" w:type="dxa"/>
            <w:bottom w:w="0" w:type="dxa"/>
            <w:right w:w="108" w:type="dxa"/>
          </w:tblCellMar>
        </w:tblPrEx>
        <w:tc>
          <w:tcPr>
            <w:tcW w:w="853" w:type="pct"/>
            <w:noWrap w:val="0"/>
            <w:vAlign w:val="center"/>
          </w:tcPr>
          <w:p>
            <w:pPr>
              <w:spacing w:line="360" w:lineRule="auto"/>
              <w:ind w:left="36" w:leftChars="17"/>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联 系 人:</w:t>
            </w:r>
          </w:p>
        </w:tc>
        <w:tc>
          <w:tcPr>
            <w:tcW w:w="2006" w:type="pct"/>
            <w:gridSpan w:val="2"/>
            <w:noWrap w:val="0"/>
            <w:vAlign w:val="center"/>
          </w:tcPr>
          <w:p>
            <w:pPr>
              <w:rPr>
                <w:rFonts w:hint="eastAsia" w:ascii="楷体" w:hAnsi="楷体" w:eastAsia="楷体" w:cs="楷体"/>
                <w:color w:val="auto"/>
                <w:sz w:val="24"/>
                <w:szCs w:val="24"/>
                <w:highlight w:val="none"/>
              </w:rPr>
            </w:pPr>
          </w:p>
        </w:tc>
        <w:tc>
          <w:tcPr>
            <w:tcW w:w="892" w:type="pct"/>
            <w:noWrap w:val="0"/>
            <w:vAlign w:val="center"/>
          </w:tcPr>
          <w:p>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联系电话:</w:t>
            </w:r>
          </w:p>
        </w:tc>
        <w:tc>
          <w:tcPr>
            <w:tcW w:w="1249" w:type="pct"/>
            <w:gridSpan w:val="2"/>
            <w:noWrap w:val="0"/>
            <w:vAlign w:val="center"/>
          </w:tcPr>
          <w:p>
            <w:pPr>
              <w:rPr>
                <w:rFonts w:hint="eastAsia" w:ascii="楷体" w:hAnsi="楷体" w:eastAsia="楷体" w:cs="楷体"/>
                <w:color w:val="auto"/>
                <w:sz w:val="24"/>
                <w:szCs w:val="24"/>
                <w:highlight w:val="none"/>
              </w:rPr>
            </w:pPr>
          </w:p>
        </w:tc>
      </w:tr>
    </w:tbl>
    <w:p>
      <w:pPr>
        <w:pStyle w:val="4"/>
        <w:rPr>
          <w:rFonts w:hint="eastAsia" w:ascii="楷体" w:hAnsi="楷体" w:eastAsia="楷体" w:cs="楷体"/>
        </w:rPr>
      </w:pP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第二章  合作原则</w:t>
      </w:r>
    </w:p>
    <w:p>
      <w:pPr>
        <w:spacing w:line="360" w:lineRule="auto"/>
        <w:ind w:firstLine="440" w:firstLineChars="200"/>
        <w:rPr>
          <w:rFonts w:hint="eastAsia" w:ascii="宋体" w:hAnsi="宋体" w:eastAsia="宋体" w:cs="宋体"/>
          <w:sz w:val="22"/>
          <w:szCs w:val="22"/>
          <w:lang w:eastAsia="zh-CN"/>
        </w:rPr>
      </w:pPr>
      <w:r>
        <w:rPr>
          <w:rFonts w:hint="eastAsia" w:ascii="宋体" w:hAnsi="宋体" w:eastAsia="宋体" w:cs="宋体"/>
          <w:sz w:val="22"/>
          <w:szCs w:val="22"/>
        </w:rPr>
        <w:t>1.甲、乙双方就甲方接入</w:t>
      </w:r>
      <w:r>
        <w:rPr>
          <w:rFonts w:hint="eastAsia" w:ascii="宋体" w:hAnsi="宋体" w:eastAsia="宋体" w:cs="宋体"/>
          <w:color w:val="auto"/>
          <w:sz w:val="22"/>
          <w:szCs w:val="22"/>
          <w:highlight w:val="none"/>
          <w:lang w:val="en-US" w:eastAsia="zh-CN"/>
        </w:rPr>
        <w:t>浙江省</w:t>
      </w:r>
      <w:r>
        <w:rPr>
          <w:rFonts w:hint="eastAsia" w:ascii="宋体" w:hAnsi="宋体" w:eastAsia="宋体" w:cs="宋体"/>
          <w:color w:val="auto"/>
          <w:sz w:val="22"/>
          <w:szCs w:val="22"/>
        </w:rPr>
        <w:t>医院质量管理与绩效评价平台使用项目（以下简称绩效平台）达成一致，签署本合同。</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2.甲方承诺，根据合同要求，按时向乙方支付应付款项；乙方承诺，根据合同要求，向甲方提供合同项下约定的服务。</w:t>
      </w:r>
    </w:p>
    <w:p>
      <w:pPr>
        <w:pStyle w:val="4"/>
        <w:rPr>
          <w:rFonts w:hint="eastAsia" w:ascii="楷体" w:hAnsi="楷体" w:eastAsia="楷体" w:cs="楷体"/>
          <w:lang w:eastAsia="zh-CN"/>
        </w:rPr>
      </w:pPr>
    </w:p>
    <w:p>
      <w:pPr>
        <w:pStyle w:val="4"/>
        <w:ind w:right="0" w:rightChars="0" w:firstLine="0" w:firstLineChars="0"/>
        <w:jc w:val="center"/>
        <w:rPr>
          <w:rFonts w:hint="eastAsia" w:ascii="楷体" w:hAnsi="楷体" w:eastAsia="楷体" w:cs="楷体"/>
          <w:color w:val="auto"/>
          <w:sz w:val="30"/>
          <w:szCs w:val="30"/>
        </w:rPr>
      </w:pPr>
      <w:r>
        <w:rPr>
          <w:rFonts w:hint="eastAsia" w:ascii="楷体" w:hAnsi="楷体" w:eastAsia="楷体" w:cs="楷体"/>
          <w:color w:val="auto"/>
          <w:sz w:val="30"/>
          <w:szCs w:val="30"/>
        </w:rPr>
        <w:t>第三章  双方权利及义务</w:t>
      </w:r>
    </w:p>
    <w:p>
      <w:pPr>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1.</w:t>
      </w:r>
      <w:r>
        <w:rPr>
          <w:rFonts w:hint="eastAsia" w:ascii="宋体" w:hAnsi="宋体" w:eastAsia="宋体" w:cs="宋体"/>
          <w:color w:val="0000FF"/>
          <w:sz w:val="22"/>
          <w:szCs w:val="22"/>
        </w:rPr>
        <w:t>甲方指定</w:t>
      </w:r>
      <w:r>
        <w:rPr>
          <w:rFonts w:hint="eastAsia" w:ascii="宋体" w:hAnsi="宋体" w:eastAsia="宋体" w:cs="宋体"/>
          <w:color w:val="0000FF"/>
          <w:sz w:val="22"/>
          <w:szCs w:val="22"/>
          <w:u w:val="single"/>
        </w:rPr>
        <w:t xml:space="preserve">  </w:t>
      </w:r>
      <w:r>
        <w:rPr>
          <w:rFonts w:hint="eastAsia" w:ascii="宋体" w:hAnsi="宋体" w:eastAsia="宋体" w:cs="宋体"/>
          <w:color w:val="0000FF"/>
          <w:sz w:val="22"/>
          <w:szCs w:val="22"/>
          <w:u w:val="single"/>
          <w:lang w:val="en-US" w:eastAsia="zh-CN"/>
        </w:rPr>
        <w:t xml:space="preserve">    </w:t>
      </w:r>
      <w:r>
        <w:rPr>
          <w:rFonts w:hint="eastAsia" w:ascii="宋体" w:hAnsi="宋体" w:eastAsia="宋体" w:cs="宋体"/>
          <w:color w:val="0000FF"/>
          <w:sz w:val="22"/>
          <w:szCs w:val="22"/>
          <w:u w:val="single"/>
        </w:rPr>
        <w:t xml:space="preserve"> </w:t>
      </w:r>
      <w:r>
        <w:rPr>
          <w:rFonts w:hint="eastAsia" w:ascii="宋体" w:hAnsi="宋体" w:eastAsia="宋体" w:cs="宋体"/>
          <w:color w:val="0000FF"/>
          <w:sz w:val="22"/>
          <w:szCs w:val="22"/>
        </w:rPr>
        <w:t>科室，联系人</w:t>
      </w:r>
      <w:r>
        <w:rPr>
          <w:rFonts w:hint="eastAsia" w:ascii="宋体" w:hAnsi="宋体" w:eastAsia="宋体" w:cs="宋体"/>
          <w:color w:val="0000FF"/>
          <w:sz w:val="22"/>
          <w:szCs w:val="22"/>
          <w:u w:val="single"/>
        </w:rPr>
        <w:t xml:space="preserve"> </w:t>
      </w:r>
      <w:r>
        <w:rPr>
          <w:rFonts w:hint="eastAsia" w:ascii="宋体" w:hAnsi="宋体" w:eastAsia="宋体" w:cs="宋体"/>
          <w:color w:val="0000FF"/>
          <w:sz w:val="22"/>
          <w:szCs w:val="22"/>
          <w:u w:val="single"/>
          <w:lang w:val="en-US" w:eastAsia="zh-CN"/>
        </w:rPr>
        <w:t xml:space="preserve">    </w:t>
      </w:r>
      <w:r>
        <w:rPr>
          <w:rFonts w:hint="eastAsia" w:ascii="宋体" w:hAnsi="宋体" w:eastAsia="宋体" w:cs="宋体"/>
          <w:color w:val="0000FF"/>
          <w:sz w:val="22"/>
          <w:szCs w:val="22"/>
          <w:u w:val="single"/>
        </w:rPr>
        <w:t xml:space="preserve">  </w:t>
      </w:r>
      <w:r>
        <w:rPr>
          <w:rFonts w:hint="eastAsia" w:ascii="宋体" w:hAnsi="宋体" w:eastAsia="宋体" w:cs="宋体"/>
          <w:color w:val="0000FF"/>
          <w:sz w:val="22"/>
          <w:szCs w:val="22"/>
        </w:rPr>
        <w:t>，联系电话</w:t>
      </w:r>
      <w:r>
        <w:rPr>
          <w:rFonts w:hint="eastAsia" w:ascii="宋体" w:hAnsi="宋体" w:eastAsia="宋体" w:cs="宋体"/>
          <w:color w:val="0000FF"/>
          <w:sz w:val="22"/>
          <w:szCs w:val="22"/>
          <w:u w:val="single"/>
        </w:rPr>
        <w:t xml:space="preserve"> </w:t>
      </w:r>
      <w:r>
        <w:rPr>
          <w:rFonts w:hint="eastAsia" w:ascii="宋体" w:hAnsi="宋体" w:eastAsia="宋体" w:cs="宋体"/>
          <w:color w:val="0000FF"/>
          <w:sz w:val="22"/>
          <w:szCs w:val="22"/>
          <w:u w:val="single"/>
          <w:lang w:val="en-US" w:eastAsia="zh-CN"/>
        </w:rPr>
        <w:t xml:space="preserve">       </w:t>
      </w:r>
      <w:r>
        <w:rPr>
          <w:rFonts w:hint="eastAsia" w:ascii="宋体" w:hAnsi="宋体" w:eastAsia="宋体" w:cs="宋体"/>
          <w:color w:val="0000FF"/>
          <w:sz w:val="22"/>
          <w:szCs w:val="22"/>
          <w:u w:val="single"/>
        </w:rPr>
        <w:t xml:space="preserve">   </w:t>
      </w:r>
      <w:r>
        <w:rPr>
          <w:rFonts w:hint="eastAsia" w:ascii="宋体" w:hAnsi="宋体" w:eastAsia="宋体" w:cs="宋体"/>
          <w:color w:val="auto"/>
          <w:sz w:val="22"/>
          <w:szCs w:val="22"/>
        </w:rPr>
        <w:t>，负责与乙方接洽具体事宜。乙方指定联系人</w:t>
      </w:r>
      <w:r>
        <w:rPr>
          <w:rFonts w:hint="eastAsia" w:ascii="宋体" w:hAnsi="宋体" w:eastAsia="宋体" w:cs="宋体"/>
          <w:color w:val="auto"/>
          <w:sz w:val="22"/>
          <w:szCs w:val="22"/>
          <w:u w:val="single"/>
          <w:lang w:val="en-US" w:eastAsia="zh-CN"/>
        </w:rPr>
        <w:t xml:space="preserve">     </w:t>
      </w:r>
      <w:r>
        <w:rPr>
          <w:rFonts w:hint="eastAsia" w:ascii="宋体" w:hAnsi="宋体" w:eastAsia="宋体" w:cs="宋体"/>
          <w:color w:val="auto"/>
          <w:sz w:val="22"/>
          <w:szCs w:val="22"/>
        </w:rPr>
        <w:t>，联系电话</w:t>
      </w:r>
      <w:r>
        <w:rPr>
          <w:rFonts w:hint="eastAsia" w:ascii="宋体" w:hAnsi="宋体" w:eastAsia="宋体" w:cs="宋体"/>
          <w:color w:val="auto"/>
          <w:sz w:val="22"/>
          <w:szCs w:val="22"/>
          <w:u w:val="single"/>
          <w:lang w:val="en-US" w:eastAsia="zh-CN"/>
        </w:rPr>
        <w:t xml:space="preserve">      </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若双方</w:t>
      </w:r>
      <w:r>
        <w:rPr>
          <w:rFonts w:hint="eastAsia" w:ascii="宋体" w:hAnsi="宋体" w:eastAsia="宋体" w:cs="宋体"/>
          <w:color w:val="auto"/>
          <w:sz w:val="22"/>
          <w:szCs w:val="22"/>
        </w:rPr>
        <w:t>指定科室或联系人若有变更，应于变更前10</w:t>
      </w:r>
      <w:r>
        <w:rPr>
          <w:rFonts w:hint="eastAsia" w:ascii="宋体" w:hAnsi="宋体" w:eastAsia="宋体" w:cs="宋体"/>
          <w:color w:val="auto"/>
          <w:sz w:val="22"/>
          <w:szCs w:val="22"/>
          <w:lang w:eastAsia="zh-CN"/>
        </w:rPr>
        <w:t>日</w:t>
      </w:r>
      <w:r>
        <w:rPr>
          <w:rFonts w:hint="eastAsia" w:ascii="宋体" w:hAnsi="宋体" w:eastAsia="宋体" w:cs="宋体"/>
          <w:color w:val="auto"/>
          <w:sz w:val="22"/>
          <w:szCs w:val="22"/>
        </w:rPr>
        <w:t>内通知</w:t>
      </w:r>
      <w:r>
        <w:rPr>
          <w:rFonts w:hint="eastAsia" w:ascii="宋体" w:hAnsi="宋体" w:eastAsia="宋体" w:cs="宋体"/>
          <w:color w:val="auto"/>
          <w:sz w:val="22"/>
          <w:szCs w:val="22"/>
          <w:lang w:eastAsia="zh-CN"/>
        </w:rPr>
        <w:t>对</w:t>
      </w:r>
      <w:r>
        <w:rPr>
          <w:rFonts w:hint="eastAsia" w:ascii="宋体" w:hAnsi="宋体" w:eastAsia="宋体" w:cs="宋体"/>
          <w:color w:val="auto"/>
          <w:sz w:val="22"/>
          <w:szCs w:val="22"/>
        </w:rPr>
        <w:t>方</w:t>
      </w:r>
      <w:r>
        <w:rPr>
          <w:rFonts w:hint="eastAsia" w:ascii="宋体" w:hAnsi="宋体" w:eastAsia="宋体" w:cs="宋体"/>
          <w:color w:val="auto"/>
          <w:sz w:val="22"/>
          <w:szCs w:val="22"/>
          <w:lang w:eastAsia="zh-CN"/>
        </w:rPr>
        <w:t>。</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2.甲方负责准备接入网络所需电脑设备及网络连接。</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3.甲方配合乙方完成相关培训工作。</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4.甲方定期将病案数据上传绩效平台，绩效平台对数据进行分组计算及相关数据分析，甲方可在绩效平台上查看相关数据和分析报表。</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5.甲方按照本合同约定支付费用，此外应配合乙方询证函的回函工作。</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6.乙方保证网络平台连续运行，在正常工作时间内提供服务。</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7.乙方及时解决甲方在使用系统过程中所遇到的问题（附件功能列表范围内），保障甲方可正常获取服务。</w:t>
      </w:r>
    </w:p>
    <w:p>
      <w:pPr>
        <w:pStyle w:val="4"/>
        <w:spacing w:line="360" w:lineRule="auto"/>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8.乙方按照本合同约定收取费用。</w:t>
      </w:r>
    </w:p>
    <w:p>
      <w:pPr>
        <w:pStyle w:val="4"/>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9.甲方委托乙方的业务应当已经法定的招标程序以及内部审批决策流程或相关主管部门批准，符合相关法律法规的规定，合法有效，不存在商业贿赂、不正当竞争等违法行为。</w:t>
      </w:r>
    </w:p>
    <w:p>
      <w:pPr>
        <w:pStyle w:val="4"/>
        <w:rPr>
          <w:rFonts w:hint="default" w:ascii="楷体" w:hAnsi="楷体" w:eastAsia="楷体" w:cs="楷体"/>
          <w:lang w:val="en-US" w:eastAsia="zh-CN"/>
        </w:rPr>
      </w:pPr>
    </w:p>
    <w:p>
      <w:pPr>
        <w:pStyle w:val="4"/>
        <w:ind w:right="0" w:rightChars="0" w:firstLine="0" w:firstLineChars="0"/>
        <w:jc w:val="center"/>
        <w:rPr>
          <w:rFonts w:hint="eastAsia" w:ascii="楷体" w:hAnsi="楷体" w:eastAsia="楷体" w:cs="楷体"/>
          <w:color w:val="auto"/>
          <w:sz w:val="30"/>
          <w:szCs w:val="30"/>
          <w:highlight w:val="none"/>
        </w:rPr>
      </w:pPr>
      <w:r>
        <w:rPr>
          <w:rFonts w:hint="eastAsia" w:ascii="楷体" w:hAnsi="楷体" w:eastAsia="楷体" w:cs="楷体"/>
          <w:color w:val="auto"/>
          <w:sz w:val="30"/>
          <w:szCs w:val="30"/>
          <w:highlight w:val="none"/>
        </w:rPr>
        <w:t xml:space="preserve">第四章  </w:t>
      </w:r>
      <w:r>
        <w:rPr>
          <w:rFonts w:hint="eastAsia" w:ascii="楷体" w:hAnsi="楷体" w:eastAsia="楷体" w:cs="楷体"/>
          <w:color w:val="auto"/>
          <w:sz w:val="30"/>
          <w:szCs w:val="30"/>
          <w:highlight w:val="none"/>
          <w:lang w:eastAsia="zh-CN"/>
        </w:rPr>
        <w:t>维保</w:t>
      </w:r>
      <w:r>
        <w:rPr>
          <w:rFonts w:hint="eastAsia" w:ascii="楷体" w:hAnsi="楷体" w:eastAsia="楷体" w:cs="楷体"/>
          <w:color w:val="auto"/>
          <w:sz w:val="30"/>
          <w:szCs w:val="30"/>
          <w:highlight w:val="none"/>
        </w:rPr>
        <w:t>期、服务费及付款</w:t>
      </w:r>
    </w:p>
    <w:p>
      <w:pPr>
        <w:spacing w:line="360" w:lineRule="auto"/>
        <w:ind w:firstLine="440" w:firstLineChars="20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1.</w:t>
      </w:r>
      <w:r>
        <w:rPr>
          <w:rFonts w:hint="eastAsia" w:ascii="宋体" w:hAnsi="宋体" w:eastAsia="宋体" w:cs="宋体"/>
          <w:b w:val="0"/>
          <w:bCs w:val="0"/>
          <w:color w:val="auto"/>
          <w:sz w:val="22"/>
          <w:szCs w:val="22"/>
          <w:highlight w:val="none"/>
          <w:lang w:val="en-US" w:eastAsia="zh-CN"/>
        </w:rPr>
        <w:t>服务</w:t>
      </w:r>
      <w:r>
        <w:rPr>
          <w:rFonts w:hint="eastAsia" w:ascii="宋体" w:hAnsi="宋体" w:eastAsia="宋体" w:cs="宋体"/>
          <w:b w:val="0"/>
          <w:bCs w:val="0"/>
          <w:color w:val="auto"/>
          <w:sz w:val="22"/>
          <w:szCs w:val="22"/>
          <w:highlight w:val="none"/>
        </w:rPr>
        <w:t>期：一年，</w:t>
      </w:r>
      <w:r>
        <w:rPr>
          <w:rFonts w:hint="eastAsia" w:ascii="宋体" w:hAnsi="宋体" w:eastAsia="宋体" w:cs="宋体"/>
          <w:b w:val="0"/>
          <w:bCs w:val="0"/>
          <w:color w:val="auto"/>
          <w:sz w:val="22"/>
          <w:szCs w:val="22"/>
          <w:highlight w:val="none"/>
          <w:lang w:val="en-US" w:eastAsia="zh-CN"/>
        </w:rPr>
        <w:t>自合同签订之日起计。</w:t>
      </w:r>
    </w:p>
    <w:p>
      <w:pPr>
        <w:spacing w:line="360" w:lineRule="auto"/>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2.服务费（一年）：</w:t>
      </w:r>
      <w:bookmarkStart w:id="1" w:name="_Hlk70885408"/>
      <w:r>
        <w:rPr>
          <w:rFonts w:hint="eastAsia" w:ascii="宋体" w:hAnsi="宋体" w:eastAsia="宋体" w:cs="宋体"/>
          <w:b w:val="0"/>
          <w:bCs w:val="0"/>
          <w:color w:val="auto"/>
          <w:sz w:val="22"/>
          <w:szCs w:val="22"/>
          <w:highlight w:val="none"/>
        </w:rPr>
        <w:t>人民币</w:t>
      </w:r>
      <w:r>
        <w:rPr>
          <w:rFonts w:hint="eastAsia" w:ascii="宋体" w:hAnsi="宋体" w:eastAsia="宋体" w:cs="宋体"/>
          <w:b w:val="0"/>
          <w:bCs w:val="0"/>
          <w:color w:val="auto"/>
          <w:sz w:val="22"/>
          <w:szCs w:val="22"/>
          <w:highlight w:val="none"/>
          <w:lang w:val="en-US" w:eastAsia="zh-CN"/>
        </w:rPr>
        <w:t xml:space="preserve"> </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b w:val="0"/>
          <w:bCs w:val="0"/>
          <w:color w:val="auto"/>
          <w:sz w:val="22"/>
          <w:szCs w:val="22"/>
          <w:highlight w:val="none"/>
        </w:rPr>
        <w:t>整（¥</w:t>
      </w:r>
      <w:r>
        <w:rPr>
          <w:rFonts w:hint="eastAsia" w:ascii="宋体" w:hAnsi="宋体" w:eastAsia="宋体" w:cs="宋体"/>
          <w:b w:val="0"/>
          <w:bCs w:val="0"/>
          <w:color w:val="auto"/>
          <w:sz w:val="22"/>
          <w:szCs w:val="22"/>
          <w:highlight w:val="none"/>
          <w:lang w:val="en-US" w:eastAsia="zh-CN"/>
        </w:rPr>
        <w:t xml:space="preserve">      </w:t>
      </w:r>
      <w:r>
        <w:rPr>
          <w:rFonts w:hint="eastAsia" w:ascii="宋体" w:hAnsi="宋体" w:eastAsia="宋体" w:cs="宋体"/>
          <w:b w:val="0"/>
          <w:bCs w:val="0"/>
          <w:color w:val="auto"/>
          <w:sz w:val="22"/>
          <w:szCs w:val="22"/>
          <w:highlight w:val="none"/>
        </w:rPr>
        <w:t>元）。</w:t>
      </w:r>
      <w:bookmarkEnd w:id="1"/>
    </w:p>
    <w:p>
      <w:pPr>
        <w:spacing w:line="460" w:lineRule="exact"/>
        <w:ind w:firstLine="440" w:firstLineChars="200"/>
        <w:rPr>
          <w:rFonts w:hint="eastAsia"/>
          <w:lang w:val="en-US" w:eastAsia="zh-CN"/>
        </w:rPr>
      </w:pPr>
      <w:r>
        <w:rPr>
          <w:rFonts w:hint="eastAsia" w:ascii="宋体" w:hAnsi="宋体" w:eastAsia="宋体" w:cs="宋体"/>
          <w:b w:val="0"/>
          <w:bCs w:val="0"/>
          <w:color w:val="auto"/>
          <w:sz w:val="22"/>
          <w:szCs w:val="22"/>
          <w:highlight w:val="none"/>
        </w:rPr>
        <w:t>3.付款：乙方为甲方开通使用权限接入绩效平台网络服务</w:t>
      </w:r>
      <w:r>
        <w:rPr>
          <w:rFonts w:hint="eastAsia" w:ascii="宋体" w:hAnsi="宋体" w:eastAsia="宋体" w:cs="宋体"/>
          <w:b w:val="0"/>
          <w:bCs w:val="0"/>
          <w:color w:val="auto"/>
          <w:sz w:val="22"/>
          <w:szCs w:val="22"/>
          <w:highlight w:val="none"/>
          <w:lang w:eastAsia="zh-CN"/>
        </w:rPr>
        <w:t>，</w:t>
      </w:r>
      <w:r>
        <w:rPr>
          <w:rFonts w:hint="eastAsia"/>
          <w:lang w:val="en-US" w:eastAsia="zh-CN"/>
        </w:rPr>
        <w:t>在服务期半年期满后三个月内，乙方提供合法有效发票后，甲方支付合同总金额的50%；服务期满后三个月内，乙方提供合法有效发票后，甲方支付合同总金额的50%。</w:t>
      </w:r>
    </w:p>
    <w:p>
      <w:pPr>
        <w:spacing w:line="460" w:lineRule="exact"/>
        <w:ind w:firstLine="420" w:firstLineChars="200"/>
        <w:rPr>
          <w:rFonts w:hint="default"/>
          <w:lang w:val="en-US" w:eastAsia="zh-CN"/>
        </w:rPr>
      </w:pPr>
      <w:r>
        <w:rPr>
          <w:rFonts w:hint="eastAsia"/>
          <w:lang w:val="en-US" w:eastAsia="zh-CN"/>
        </w:rPr>
        <w:t>4.乙方未开具合格发票、或所开发票无法通过税务认证、或发票信息与合同约定不符的，甲方有权暂缓支付相应款项，且不构成甲方违约。</w:t>
      </w:r>
    </w:p>
    <w:p>
      <w:pPr>
        <w:pStyle w:val="4"/>
        <w:ind w:firstLine="0" w:firstLineChars="0"/>
        <w:rPr>
          <w:rFonts w:hint="eastAsia" w:ascii="楷体" w:hAnsi="楷体" w:eastAsia="楷体" w:cs="楷体"/>
          <w:color w:val="auto"/>
        </w:rPr>
      </w:pP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第五章  服务承诺</w:t>
      </w:r>
    </w:p>
    <w:p>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rPr>
        <w:t>1.故障报修的响应时间：</w:t>
      </w:r>
      <w:r>
        <w:rPr>
          <w:rFonts w:hint="eastAsia" w:ascii="宋体" w:hAnsi="宋体" w:eastAsia="宋体" w:cs="宋体"/>
          <w:sz w:val="22"/>
          <w:szCs w:val="22"/>
          <w:lang w:val="en-US" w:eastAsia="zh-CN"/>
        </w:rPr>
        <w:t>具体详见附件2</w:t>
      </w:r>
    </w:p>
    <w:p>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sz w:val="22"/>
          <w:szCs w:val="22"/>
        </w:rPr>
        <w:t>2.若电话中无法解决，</w:t>
      </w:r>
      <w:r>
        <w:rPr>
          <w:rFonts w:hint="eastAsia" w:ascii="宋体" w:hAnsi="宋体" w:eastAsia="宋体" w:cs="宋体"/>
          <w:sz w:val="22"/>
          <w:szCs w:val="22"/>
          <w:lang w:eastAsia="zh-CN"/>
        </w:rPr>
        <w:t>乙方</w:t>
      </w:r>
      <w:r>
        <w:rPr>
          <w:rFonts w:hint="eastAsia" w:ascii="宋体" w:hAnsi="宋体" w:eastAsia="宋体" w:cs="宋体"/>
          <w:sz w:val="22"/>
          <w:szCs w:val="22"/>
        </w:rPr>
        <w:t>通过网络远程进行维护。如2个小时内无法解决，24小时内安排人员现场处理</w:t>
      </w:r>
      <w:r>
        <w:rPr>
          <w:rFonts w:hint="eastAsia" w:ascii="宋体" w:hAnsi="宋体" w:eastAsia="宋体" w:cs="宋体"/>
          <w:sz w:val="22"/>
          <w:szCs w:val="22"/>
          <w:lang w:eastAsia="zh-CN"/>
        </w:rPr>
        <w:t>。</w:t>
      </w: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第六章  知识产权和保密信息</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1.合同双方对在签订和履行本合同过程中从任何一方获知的对方的技术和商业秘密，无论在本合同期限内还是合同终止后，均应共同遵守《中华人民共和国反不正当竞争法》及国家有关版权、专利、商标等知识产权等方面的法律法规的规定，相互尊重对方的知识产权，对所知悉的对方的技术秘密和商业秘密负有保密责任，保密期限为永久。违反本条规定，给对方造成损失的，违约方应承担相应的法律责任。</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2.合同双方应严守商业机密及技术机密，不得以任何方式向任何与本项目无关的人员泄露本项目需要保密的相关信息、技术和资料。</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3.该项目的技术实施方案、产品、用户手册及附属的信息数据均属保密范围。任一方泄密，视为违约，守约方保留追究其责任的权利。乙方对系统软件的用户手册拥有修改权和发布权。</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4.医院病案涉及患者个人隐私，乙方在合同执行期间及合同终止后均应对其在合同执行期间知悉或可能知悉的有关病案的内容保密</w:t>
      </w:r>
      <w:r>
        <w:rPr>
          <w:rFonts w:hint="eastAsia" w:ascii="宋体" w:hAnsi="宋体" w:eastAsia="宋体" w:cs="宋体"/>
          <w:sz w:val="22"/>
          <w:szCs w:val="22"/>
          <w:lang w:eastAsia="zh-CN"/>
        </w:rPr>
        <w:t>，</w:t>
      </w:r>
      <w:r>
        <w:rPr>
          <w:rFonts w:hint="eastAsia" w:ascii="宋体" w:hAnsi="宋体" w:eastAsia="宋体" w:cs="宋体"/>
          <w:sz w:val="22"/>
          <w:szCs w:val="22"/>
        </w:rPr>
        <w:t>不能以任何方式泄漏、转让、转移给第三方，</w:t>
      </w:r>
      <w:r>
        <w:rPr>
          <w:rFonts w:hint="eastAsia" w:ascii="宋体" w:hAnsi="宋体" w:eastAsia="宋体" w:cs="宋体"/>
          <w:sz w:val="22"/>
          <w:szCs w:val="22"/>
          <w:lang w:val="en-US" w:eastAsia="zh-CN"/>
        </w:rPr>
        <w:t>合同履行完毕、终止或解除后，乙方应按照甲方要求删除或返还全部数据并出具书面确认。乙方违反保密条款的，应承担由此造成的一切后果和法律责任。</w:t>
      </w:r>
    </w:p>
    <w:p>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rPr>
        <w:t>乙方应保证所提供的</w:t>
      </w:r>
      <w:r>
        <w:rPr>
          <w:rFonts w:hint="eastAsia" w:ascii="宋体" w:hAnsi="宋体" w:eastAsia="宋体" w:cs="宋体"/>
          <w:sz w:val="22"/>
          <w:szCs w:val="22"/>
          <w:lang w:eastAsia="zh-CN"/>
        </w:rPr>
        <w:t>系统</w:t>
      </w:r>
      <w:r>
        <w:rPr>
          <w:rFonts w:hint="eastAsia" w:ascii="宋体" w:hAnsi="宋体" w:eastAsia="宋体" w:cs="宋体"/>
          <w:sz w:val="22"/>
          <w:szCs w:val="22"/>
        </w:rPr>
        <w:t>不会侵犯任何第三方的知识产权</w:t>
      </w:r>
      <w:r>
        <w:rPr>
          <w:rFonts w:hint="eastAsia" w:ascii="宋体" w:hAnsi="宋体" w:eastAsia="宋体" w:cs="宋体"/>
          <w:sz w:val="22"/>
          <w:szCs w:val="22"/>
          <w:lang w:eastAsia="zh-CN"/>
        </w:rPr>
        <w:t>，甲方行使乙方所授予的软件权利不会侵犯任何第三方的合法权利。</w:t>
      </w:r>
      <w:r>
        <w:rPr>
          <w:rFonts w:hint="eastAsia" w:ascii="宋体" w:hAnsi="宋体" w:eastAsia="宋体" w:cs="宋体"/>
          <w:sz w:val="22"/>
          <w:szCs w:val="22"/>
          <w:lang w:val="en-US" w:eastAsia="zh-CN"/>
        </w:rPr>
        <w:t>乙方应保证如有第三方声称甲方使用本合同下软件系统侵犯第三方的知识产权或其他权利，乙方将对由此而引起的任何诉讼或法律请求进行抗辩，若发生赔偿，乙方应当支付有关判决或者和解所确定的赔偿金额。甲方为此支出的费用和损失均由乙方承担。若本合同项下软件系统或者其任何部分被依法认定为侵犯第三方的合法权利，或任何依约定使用该软件或行使任何由乙方授予的权利被认定为侵权，乙方应尽力用相等功能的且非侵权的软件替换本软件，或取得相关授权。</w:t>
      </w:r>
    </w:p>
    <w:p>
      <w:pPr>
        <w:pStyle w:val="4"/>
        <w:ind w:firstLine="0" w:firstLineChars="0"/>
        <w:rPr>
          <w:rFonts w:hint="default" w:ascii="楷体" w:hAnsi="楷体" w:eastAsia="楷体" w:cs="楷体"/>
          <w:lang w:val="en-US" w:eastAsia="zh-CN"/>
        </w:rPr>
      </w:pP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第七章  违约责任</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1.若甲方</w:t>
      </w:r>
      <w:r>
        <w:rPr>
          <w:rFonts w:hint="eastAsia" w:ascii="宋体" w:hAnsi="宋体" w:eastAsia="宋体" w:cs="宋体"/>
          <w:sz w:val="22"/>
          <w:szCs w:val="22"/>
          <w:lang w:eastAsia="zh-CN"/>
        </w:rPr>
        <w:t>超过</w:t>
      </w:r>
      <w:r>
        <w:rPr>
          <w:rFonts w:hint="eastAsia" w:ascii="宋体" w:hAnsi="宋体" w:eastAsia="宋体" w:cs="宋体"/>
          <w:sz w:val="22"/>
          <w:szCs w:val="22"/>
          <w:lang w:val="en-US" w:eastAsia="zh-CN"/>
        </w:rPr>
        <w:t>30日</w:t>
      </w:r>
      <w:r>
        <w:rPr>
          <w:rFonts w:hint="eastAsia" w:ascii="宋体" w:hAnsi="宋体" w:eastAsia="宋体" w:cs="宋体"/>
          <w:sz w:val="22"/>
          <w:szCs w:val="22"/>
        </w:rPr>
        <w:t>履行付款义务，乙方有权中止提供服务，甲方支付相关费用后，乙方恢复对甲方的服务。</w:t>
      </w:r>
    </w:p>
    <w:p>
      <w:pPr>
        <w:spacing w:line="360" w:lineRule="auto"/>
        <w:ind w:firstLine="440" w:firstLineChars="200"/>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eastAsia="宋体" w:cs="宋体"/>
          <w:sz w:val="22"/>
          <w:szCs w:val="22"/>
          <w:lang w:eastAsia="zh-CN"/>
        </w:rPr>
        <w:t>乙方未按照合同约定及时响应的，每超时一次，</w:t>
      </w:r>
      <w:r>
        <w:rPr>
          <w:rFonts w:hint="eastAsia" w:ascii="宋体" w:hAnsi="宋体" w:eastAsia="宋体" w:cs="宋体"/>
          <w:sz w:val="22"/>
          <w:szCs w:val="22"/>
          <w:lang w:val="en-US" w:eastAsia="zh-CN"/>
        </w:rPr>
        <w:t>支付合同价款的1%作为违约金，造成损失的，还须赔偿甲方损失。</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双方如发现对方的行为严重违反本合同的条款，严重损害对方的利益，可以书面的形式提出终止本合同，并要求违约方承担因此造成的损失。</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不可抗力：任何一方由于不可抗力因素造成不能履行合同时，应及时向另一方通报不能履行或不能完全履行合同的详细原因，在取得有效的事实支持文件后，允许延期履行、部分履行或停止履行合同，并根据实际情况可部分或全部免担违约责任。</w:t>
      </w:r>
    </w:p>
    <w:p>
      <w:pPr>
        <w:pStyle w:val="4"/>
        <w:rPr>
          <w:rFonts w:hint="eastAsia" w:ascii="宋体" w:hAnsi="宋体" w:eastAsia="宋体" w:cs="宋体"/>
          <w:sz w:val="22"/>
          <w:szCs w:val="22"/>
        </w:rPr>
      </w:pP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第八章  争议的解决</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对于在本合同履行过程中产生的一切争议，甲乙双方应通过友好协商解决。如果经协商或调解不能达成一致，依法</w:t>
      </w:r>
      <w:r>
        <w:rPr>
          <w:rFonts w:hint="eastAsia" w:ascii="宋体" w:hAnsi="宋体" w:eastAsia="宋体" w:cs="宋体"/>
          <w:color w:val="auto"/>
          <w:sz w:val="22"/>
          <w:szCs w:val="22"/>
        </w:rPr>
        <w:t>向</w:t>
      </w:r>
      <w:r>
        <w:rPr>
          <w:rFonts w:hint="eastAsia" w:ascii="宋体" w:hAnsi="宋体" w:eastAsia="宋体" w:cs="宋体"/>
          <w:color w:val="auto"/>
          <w:sz w:val="22"/>
          <w:szCs w:val="22"/>
          <w:lang w:val="en-US" w:eastAsia="zh-CN"/>
        </w:rPr>
        <w:t>甲方</w:t>
      </w:r>
      <w:r>
        <w:rPr>
          <w:rFonts w:hint="eastAsia" w:ascii="宋体" w:hAnsi="宋体" w:eastAsia="宋体" w:cs="宋体"/>
          <w:color w:val="auto"/>
          <w:sz w:val="22"/>
          <w:szCs w:val="22"/>
        </w:rPr>
        <w:t>所在地</w:t>
      </w:r>
      <w:r>
        <w:rPr>
          <w:rFonts w:hint="eastAsia" w:ascii="宋体" w:hAnsi="宋体" w:eastAsia="宋体" w:cs="宋体"/>
          <w:sz w:val="22"/>
          <w:szCs w:val="22"/>
        </w:rPr>
        <w:t>有管辖权的人民法院提起诉讼。诉讼期间，除了必须通过诉讼过程进行解决的部分外，合同其余部分应继续履行。</w:t>
      </w:r>
    </w:p>
    <w:p>
      <w:pPr>
        <w:pStyle w:val="4"/>
        <w:rPr>
          <w:rFonts w:hint="eastAsia" w:ascii="宋体" w:hAnsi="宋体" w:eastAsia="宋体" w:cs="宋体"/>
          <w:sz w:val="22"/>
          <w:szCs w:val="22"/>
        </w:rPr>
      </w:pPr>
    </w:p>
    <w:p>
      <w:pPr>
        <w:pStyle w:val="4"/>
        <w:ind w:right="0" w:rightChars="0" w:firstLine="0" w:firstLineChars="0"/>
        <w:jc w:val="center"/>
        <w:rPr>
          <w:rFonts w:hint="eastAsia" w:ascii="楷体" w:hAnsi="楷体" w:eastAsia="楷体" w:cs="楷体"/>
          <w:sz w:val="30"/>
          <w:szCs w:val="30"/>
        </w:rPr>
      </w:pPr>
      <w:r>
        <w:rPr>
          <w:rFonts w:hint="eastAsia" w:ascii="楷体" w:hAnsi="楷体" w:eastAsia="楷体" w:cs="楷体"/>
          <w:sz w:val="30"/>
          <w:szCs w:val="30"/>
        </w:rPr>
        <w:t>第九章  其他事项</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1.本合同一式</w:t>
      </w:r>
      <w:r>
        <w:rPr>
          <w:rFonts w:hint="eastAsia" w:ascii="宋体" w:hAnsi="宋体" w:eastAsia="宋体" w:cs="宋体"/>
          <w:sz w:val="22"/>
          <w:szCs w:val="22"/>
          <w:lang w:val="en-US" w:eastAsia="zh-CN"/>
        </w:rPr>
        <w:t>四</w:t>
      </w:r>
      <w:r>
        <w:rPr>
          <w:rFonts w:hint="eastAsia" w:ascii="宋体" w:hAnsi="宋体" w:eastAsia="宋体" w:cs="宋体"/>
          <w:sz w:val="22"/>
          <w:szCs w:val="22"/>
        </w:rPr>
        <w:t>份，甲乙双方各执</w:t>
      </w:r>
      <w:r>
        <w:rPr>
          <w:rFonts w:hint="eastAsia" w:ascii="宋体" w:hAnsi="宋体" w:eastAsia="宋体" w:cs="宋体"/>
          <w:sz w:val="22"/>
          <w:szCs w:val="22"/>
          <w:lang w:val="en-US" w:eastAsia="zh-CN"/>
        </w:rPr>
        <w:t>二</w:t>
      </w:r>
      <w:r>
        <w:rPr>
          <w:rFonts w:hint="eastAsia" w:ascii="宋体" w:hAnsi="宋体" w:eastAsia="宋体" w:cs="宋体"/>
          <w:sz w:val="22"/>
          <w:szCs w:val="22"/>
        </w:rPr>
        <w:t>份，</w:t>
      </w:r>
      <w:r>
        <w:rPr>
          <w:rFonts w:hint="eastAsia" w:ascii="宋体" w:hAnsi="宋体" w:eastAsia="宋体" w:cs="宋体"/>
          <w:sz w:val="22"/>
          <w:szCs w:val="22"/>
          <w:highlight w:val="none"/>
        </w:rPr>
        <w:t>具有同等法律效力。</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2.本合同自双方</w:t>
      </w:r>
      <w:r>
        <w:rPr>
          <w:rFonts w:hint="eastAsia" w:ascii="宋体" w:hAnsi="宋体" w:eastAsia="宋体" w:cs="宋体"/>
          <w:sz w:val="22"/>
          <w:szCs w:val="22"/>
          <w:lang w:val="en-US" w:eastAsia="zh-CN"/>
        </w:rPr>
        <w:t>代表</w:t>
      </w:r>
      <w:r>
        <w:rPr>
          <w:rFonts w:hint="eastAsia" w:ascii="宋体" w:hAnsi="宋体" w:eastAsia="宋体" w:cs="宋体"/>
          <w:sz w:val="22"/>
          <w:szCs w:val="22"/>
        </w:rPr>
        <w:t>签字盖章之日起生效。</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3.在执行过程中如有异议或未尽事宜，双方另行协商解决。</w:t>
      </w:r>
    </w:p>
    <w:p>
      <w:pPr>
        <w:pStyle w:val="4"/>
        <w:rPr>
          <w:rFonts w:hint="eastAsia" w:ascii="宋体" w:hAnsi="宋体" w:eastAsia="宋体" w:cs="宋体"/>
          <w:sz w:val="22"/>
          <w:szCs w:val="22"/>
        </w:rPr>
      </w:pPr>
    </w:p>
    <w:p>
      <w:pPr>
        <w:jc w:val="center"/>
        <w:rPr>
          <w:rFonts w:hint="eastAsia" w:ascii="楷体" w:hAnsi="楷体" w:eastAsia="楷体" w:cs="楷体"/>
          <w:sz w:val="30"/>
          <w:szCs w:val="30"/>
        </w:rPr>
      </w:pPr>
      <w:r>
        <w:rPr>
          <w:rFonts w:hint="eastAsia" w:ascii="楷体" w:hAnsi="楷体" w:eastAsia="楷体" w:cs="楷体"/>
          <w:sz w:val="30"/>
          <w:szCs w:val="30"/>
        </w:rPr>
        <w:t>第十章  甲乙双方对于本合同的确认</w:t>
      </w:r>
    </w:p>
    <w:tbl>
      <w:tblPr>
        <w:tblStyle w:val="11"/>
        <w:tblW w:w="8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1"/>
        <w:gridCol w:w="4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081" w:type="dxa"/>
            <w:noWrap w:val="0"/>
            <w:vAlign w:val="center"/>
          </w:tcPr>
          <w:p>
            <w:pPr>
              <w:spacing w:line="380" w:lineRule="exact"/>
              <w:jc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rPr>
              <w:t>甲方</w:t>
            </w:r>
          </w:p>
        </w:tc>
        <w:tc>
          <w:tcPr>
            <w:tcW w:w="4079" w:type="dxa"/>
            <w:noWrap w:val="0"/>
            <w:vAlign w:val="center"/>
          </w:tcPr>
          <w:p>
            <w:pPr>
              <w:spacing w:line="380" w:lineRule="exact"/>
              <w:jc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rPr>
              <w:t>乙方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exact"/>
          <w:jc w:val="center"/>
        </w:trPr>
        <w:tc>
          <w:tcPr>
            <w:tcW w:w="4081" w:type="dxa"/>
            <w:noWrap w:val="0"/>
            <w:vAlign w:val="center"/>
          </w:tcPr>
          <w:p>
            <w:pPr>
              <w:spacing w:line="480" w:lineRule="auto"/>
              <w:rPr>
                <w:rFonts w:hint="eastAsia" w:ascii="楷体" w:hAnsi="楷体" w:eastAsia="楷体" w:cs="楷体"/>
                <w:color w:val="auto"/>
                <w:sz w:val="24"/>
                <w:szCs w:val="24"/>
              </w:rPr>
            </w:pPr>
            <w:r>
              <w:rPr>
                <w:rFonts w:hint="eastAsia" w:ascii="楷体" w:hAnsi="楷体" w:eastAsia="楷体" w:cs="楷体"/>
                <w:color w:val="auto"/>
                <w:sz w:val="24"/>
                <w:szCs w:val="24"/>
              </w:rPr>
              <w:t>温州市中医院</w:t>
            </w:r>
          </w:p>
          <w:p>
            <w:pPr>
              <w:spacing w:line="480" w:lineRule="auto"/>
              <w:rPr>
                <w:rFonts w:hint="eastAsia" w:ascii="楷体" w:hAnsi="楷体" w:eastAsia="楷体" w:cs="楷体"/>
                <w:sz w:val="24"/>
                <w:szCs w:val="24"/>
              </w:rPr>
            </w:pPr>
            <w:r>
              <w:rPr>
                <w:rFonts w:hint="eastAsia" w:ascii="楷体" w:hAnsi="楷体" w:eastAsia="楷体" w:cs="楷体"/>
                <w:sz w:val="24"/>
                <w:szCs w:val="24"/>
              </w:rPr>
              <w:t>甲方（授权）代表：</w:t>
            </w:r>
          </w:p>
          <w:p>
            <w:pPr>
              <w:spacing w:line="480" w:lineRule="auto"/>
              <w:rPr>
                <w:rFonts w:hint="eastAsia" w:ascii="楷体" w:hAnsi="楷体" w:eastAsia="楷体" w:cs="楷体"/>
                <w:sz w:val="24"/>
                <w:szCs w:val="24"/>
              </w:rPr>
            </w:pPr>
            <w:r>
              <w:rPr>
                <w:rFonts w:hint="eastAsia" w:ascii="楷体" w:hAnsi="楷体" w:eastAsia="楷体" w:cs="楷体"/>
                <w:sz w:val="24"/>
                <w:szCs w:val="24"/>
              </w:rPr>
              <w:t>签约日期：     年     月     日</w:t>
            </w:r>
          </w:p>
        </w:tc>
        <w:tc>
          <w:tcPr>
            <w:tcW w:w="4079" w:type="dxa"/>
            <w:noWrap w:val="0"/>
            <w:vAlign w:val="center"/>
          </w:tcPr>
          <w:p>
            <w:pPr>
              <w:adjustRightInd w:val="0"/>
              <w:spacing w:line="480" w:lineRule="auto"/>
              <w:textAlignment w:val="baseline"/>
              <w:rPr>
                <w:rFonts w:hint="eastAsia" w:ascii="楷体" w:hAnsi="楷体" w:eastAsia="楷体" w:cs="楷体"/>
                <w:kern w:val="0"/>
                <w:sz w:val="24"/>
                <w:szCs w:val="24"/>
              </w:rPr>
            </w:pPr>
          </w:p>
          <w:p>
            <w:pPr>
              <w:adjustRightInd w:val="0"/>
              <w:spacing w:line="480" w:lineRule="auto"/>
              <w:textAlignment w:val="baseline"/>
              <w:rPr>
                <w:rFonts w:hint="eastAsia" w:ascii="楷体" w:hAnsi="楷体" w:eastAsia="楷体" w:cs="楷体"/>
                <w:kern w:val="0"/>
                <w:sz w:val="24"/>
                <w:szCs w:val="24"/>
              </w:rPr>
            </w:pPr>
            <w:r>
              <w:rPr>
                <w:rFonts w:hint="eastAsia" w:ascii="楷体" w:hAnsi="楷体" w:eastAsia="楷体" w:cs="楷体"/>
                <w:kern w:val="0"/>
                <w:sz w:val="24"/>
                <w:szCs w:val="24"/>
              </w:rPr>
              <w:t>乙方（授权）代表：</w:t>
            </w:r>
          </w:p>
          <w:p>
            <w:pPr>
              <w:spacing w:line="480" w:lineRule="auto"/>
              <w:rPr>
                <w:rFonts w:hint="eastAsia" w:ascii="楷体" w:hAnsi="楷体" w:eastAsia="楷体" w:cs="楷体"/>
                <w:sz w:val="24"/>
                <w:szCs w:val="24"/>
              </w:rPr>
            </w:pPr>
            <w:r>
              <w:rPr>
                <w:rFonts w:hint="eastAsia" w:ascii="楷体" w:hAnsi="楷体" w:eastAsia="楷体" w:cs="楷体"/>
                <w:sz w:val="24"/>
                <w:szCs w:val="24"/>
              </w:rPr>
              <w:t>签约日期：     年     月     日</w:t>
            </w:r>
          </w:p>
        </w:tc>
      </w:tr>
    </w:tbl>
    <w:p>
      <w:pPr>
        <w:wordWrap w:val="0"/>
        <w:spacing w:line="324" w:lineRule="auto"/>
        <w:rPr>
          <w:rFonts w:hint="eastAsia" w:ascii="楷体" w:hAnsi="楷体" w:eastAsia="楷体" w:cs="楷体"/>
          <w:b/>
          <w:bCs/>
          <w:szCs w:val="21"/>
        </w:rPr>
        <w:sectPr>
          <w:headerReference r:id="rId3" w:type="default"/>
          <w:footerReference r:id="rId4" w:type="default"/>
          <w:pgSz w:w="11906" w:h="16838"/>
          <w:pgMar w:top="1440" w:right="1558" w:bottom="1440" w:left="1560" w:header="567" w:footer="850" w:gutter="0"/>
          <w:cols w:space="720" w:num="1"/>
          <w:docGrid w:type="lines" w:linePitch="312" w:charSpace="0"/>
        </w:sectPr>
      </w:pPr>
    </w:p>
    <w:p>
      <w:pPr>
        <w:numPr>
          <w:ilvl w:val="0"/>
          <w:numId w:val="0"/>
        </w:numPr>
        <w:spacing w:line="360" w:lineRule="auto"/>
        <w:rPr>
          <w:rFonts w:ascii="宋体" w:hAnsi="宋体" w:cs="宋体"/>
          <w:b/>
          <w:bCs/>
          <w:sz w:val="21"/>
          <w:szCs w:val="21"/>
        </w:rPr>
      </w:pPr>
      <w:bookmarkStart w:id="2" w:name="_GoBack"/>
      <w:r>
        <w:rPr>
          <w:rFonts w:hint="eastAsia" w:ascii="宋体" w:hAnsi="宋体" w:cs="宋体"/>
          <w:b/>
          <w:bCs/>
          <w:sz w:val="21"/>
          <w:szCs w:val="21"/>
          <w:lang w:val="en-US" w:eastAsia="zh-CN"/>
        </w:rPr>
        <w:t>附件1：</w:t>
      </w:r>
      <w:r>
        <w:rPr>
          <w:rFonts w:hint="eastAsia" w:ascii="宋体" w:hAnsi="宋体" w:cs="宋体"/>
          <w:b/>
          <w:bCs/>
          <w:sz w:val="21"/>
          <w:szCs w:val="21"/>
        </w:rPr>
        <w:t>技术服务范围：</w:t>
      </w:r>
    </w:p>
    <w:bookmarkEnd w:id="2"/>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2243"/>
        <w:gridCol w:w="5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序号</w:t>
            </w:r>
          </w:p>
        </w:tc>
        <w:tc>
          <w:tcPr>
            <w:tcW w:w="1316"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项目名称</w:t>
            </w:r>
          </w:p>
        </w:tc>
        <w:tc>
          <w:tcPr>
            <w:tcW w:w="3070" w:type="pct"/>
            <w:tcBorders>
              <w:top w:val="single" w:color="000000" w:sz="8" w:space="0"/>
              <w:left w:val="single" w:color="000000" w:sz="8" w:space="0"/>
              <w:bottom w:val="single" w:color="000000" w:sz="8" w:space="0"/>
              <w:right w:val="single" w:color="000000" w:sz="8" w:space="0"/>
            </w:tcBorders>
            <w:shd w:val="clear" w:color="auto" w:fill="B8CCE4"/>
            <w:noWrap w:val="0"/>
            <w:vAlign w:val="center"/>
          </w:tcPr>
          <w:p>
            <w:pPr>
              <w:pStyle w:val="8"/>
              <w:widowControl/>
              <w:spacing w:line="360" w:lineRule="exact"/>
              <w:jc w:val="center"/>
              <w:rPr>
                <w:rFonts w:ascii="宋体" w:hAnsi="宋体" w:cs="宋体"/>
                <w:b/>
                <w:bCs/>
                <w:color w:val="000000"/>
                <w:sz w:val="21"/>
                <w:szCs w:val="21"/>
              </w:rPr>
            </w:pPr>
            <w:r>
              <w:rPr>
                <w:rFonts w:hint="eastAsia" w:ascii="宋体" w:hAnsi="宋体" w:cs="宋体"/>
                <w:b/>
                <w:bCs/>
                <w:color w:val="000000"/>
                <w:sz w:val="21"/>
                <w:szCs w:val="21"/>
              </w:rPr>
              <w:t>项目说明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上传文件详细结果</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查看最近一次上传文件的数据量。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上传文件审核</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查看数据上传后的审核结果，用户根据结果修正数据，重新上传。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上报数据质量一览表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查看数据上报质量及入组率等指标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上传数据查询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分月查看数据上传的数量以及是否已经过drg分组，单病种分组等。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全省</w:t>
            </w:r>
            <w:r>
              <w:rPr>
                <w:rFonts w:ascii="宋体" w:hAnsi="宋体" w:cs="宋体"/>
                <w:color w:val="000000"/>
                <w:sz w:val="21"/>
                <w:szCs w:val="21"/>
              </w:rPr>
              <w:t>DRGs</w:t>
            </w:r>
            <w:r>
              <w:rPr>
                <w:rFonts w:hint="eastAsia" w:ascii="宋体" w:hAnsi="宋体" w:cs="宋体"/>
                <w:color w:val="000000"/>
                <w:sz w:val="21"/>
                <w:szCs w:val="21"/>
              </w:rPr>
              <w:t>绩效</w:t>
            </w:r>
            <w:r>
              <w:rPr>
                <w:rFonts w:hint="eastAsia" w:ascii="宋体" w:hAnsi="宋体" w:cs="宋体"/>
                <w:color w:val="000000"/>
                <w:sz w:val="21"/>
                <w:szCs w:val="21"/>
                <w:lang w:val="en-US" w:eastAsia="zh-CN"/>
              </w:rPr>
              <w:t>评价</w:t>
            </w:r>
            <w:r>
              <w:rPr>
                <w:rFonts w:hint="eastAsia" w:ascii="宋体" w:hAnsi="宋体" w:cs="宋体"/>
                <w:color w:val="000000"/>
                <w:sz w:val="21"/>
                <w:szCs w:val="21"/>
              </w:rPr>
              <w:t>平台简报</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由卫健委定期发布，全省医院的</w:t>
            </w:r>
            <w:r>
              <w:rPr>
                <w:rFonts w:ascii="宋体" w:hAnsi="宋体" w:cs="宋体"/>
                <w:color w:val="000000"/>
                <w:sz w:val="21"/>
                <w:szCs w:val="21"/>
              </w:rPr>
              <w:t>drgs</w:t>
            </w:r>
            <w:r>
              <w:rPr>
                <w:rFonts w:hint="eastAsia" w:ascii="宋体" w:hAnsi="宋体" w:cs="宋体"/>
                <w:color w:val="000000"/>
                <w:sz w:val="21"/>
                <w:szCs w:val="21"/>
              </w:rPr>
              <w:t>绩效简报，具体包含</w:t>
            </w:r>
            <w:r>
              <w:rPr>
                <w:rFonts w:ascii="宋体" w:hAnsi="宋体" w:cs="宋体"/>
                <w:color w:val="000000"/>
                <w:sz w:val="21"/>
                <w:szCs w:val="21"/>
              </w:rPr>
              <w:t>1.</w:t>
            </w:r>
            <w:r>
              <w:rPr>
                <w:rFonts w:hint="eastAsia" w:ascii="宋体" w:hAnsi="宋体" w:cs="宋体"/>
                <w:color w:val="000000"/>
                <w:sz w:val="21"/>
                <w:szCs w:val="21"/>
              </w:rPr>
              <w:t>医院</w:t>
            </w:r>
            <w:r>
              <w:rPr>
                <w:rFonts w:ascii="宋体" w:hAnsi="宋体" w:cs="宋体"/>
                <w:color w:val="000000"/>
                <w:sz w:val="21"/>
                <w:szCs w:val="21"/>
              </w:rPr>
              <w:t>DRGs</w:t>
            </w:r>
            <w:r>
              <w:rPr>
                <w:rFonts w:hint="eastAsia" w:ascii="宋体" w:hAnsi="宋体" w:cs="宋体"/>
                <w:color w:val="000000"/>
                <w:sz w:val="21"/>
                <w:szCs w:val="21"/>
              </w:rPr>
              <w:t>绩效排名，按照医院性质分别排名。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2.</w:t>
            </w:r>
            <w:r>
              <w:rPr>
                <w:rFonts w:hint="eastAsia" w:ascii="宋体" w:hAnsi="宋体" w:cs="宋体"/>
                <w:color w:val="000000"/>
                <w:sz w:val="21"/>
                <w:szCs w:val="21"/>
              </w:rPr>
              <w:t>全省各数据上传情况排名。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3.</w:t>
            </w:r>
            <w:r>
              <w:rPr>
                <w:rFonts w:hint="eastAsia" w:ascii="宋体" w:hAnsi="宋体" w:cs="宋体"/>
                <w:color w:val="000000"/>
                <w:sz w:val="21"/>
                <w:szCs w:val="21"/>
              </w:rPr>
              <w:t>全省病例权重大于</w:t>
            </w:r>
            <w:r>
              <w:rPr>
                <w:rFonts w:ascii="宋体" w:hAnsi="宋体" w:cs="宋体"/>
                <w:color w:val="000000"/>
                <w:sz w:val="21"/>
                <w:szCs w:val="21"/>
              </w:rPr>
              <w:t>2</w:t>
            </w:r>
            <w:r>
              <w:rPr>
                <w:rFonts w:hint="eastAsia" w:ascii="宋体" w:hAnsi="宋体" w:cs="宋体"/>
                <w:color w:val="000000"/>
                <w:sz w:val="21"/>
                <w:szCs w:val="21"/>
              </w:rPr>
              <w:t>的分段排名。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4.</w:t>
            </w:r>
            <w:r>
              <w:rPr>
                <w:rFonts w:hint="eastAsia" w:ascii="宋体" w:hAnsi="宋体" w:cs="宋体"/>
                <w:color w:val="000000"/>
                <w:sz w:val="21"/>
                <w:szCs w:val="21"/>
              </w:rPr>
              <w:t>全省三四级手术排名。</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5.</w:t>
            </w:r>
            <w:r>
              <w:rPr>
                <w:rFonts w:hint="eastAsia" w:ascii="宋体" w:hAnsi="宋体" w:cs="宋体"/>
                <w:color w:val="000000"/>
                <w:sz w:val="21"/>
                <w:szCs w:val="21"/>
              </w:rPr>
              <w:t>全省单病种排名。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DRGs</w:t>
            </w:r>
            <w:r>
              <w:rPr>
                <w:rFonts w:hint="eastAsia" w:ascii="宋体" w:hAnsi="宋体" w:cs="宋体"/>
                <w:color w:val="000000"/>
                <w:sz w:val="21"/>
                <w:szCs w:val="21"/>
              </w:rPr>
              <w:t>数据审核</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审核</w:t>
            </w:r>
            <w:r>
              <w:rPr>
                <w:rFonts w:ascii="宋体" w:hAnsi="宋体" w:cs="宋体"/>
                <w:color w:val="000000"/>
                <w:sz w:val="21"/>
                <w:szCs w:val="21"/>
              </w:rPr>
              <w:t>DRGs</w:t>
            </w:r>
            <w:r>
              <w:rPr>
                <w:rFonts w:hint="eastAsia" w:ascii="宋体" w:hAnsi="宋体" w:cs="宋体"/>
                <w:color w:val="000000"/>
                <w:sz w:val="21"/>
                <w:szCs w:val="21"/>
              </w:rPr>
              <w:t>相关数据规范，包括：无效主诊断、性别不符、新生儿不符、不规范诊断和非标准编码。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Cmi</w:t>
            </w:r>
            <w:r>
              <w:rPr>
                <w:rFonts w:hint="eastAsia" w:ascii="宋体" w:hAnsi="宋体" w:cs="宋体"/>
                <w:color w:val="000000"/>
                <w:sz w:val="21"/>
                <w:szCs w:val="21"/>
              </w:rPr>
              <w:t>统计报表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w:t>
            </w:r>
            <w:r>
              <w:rPr>
                <w:rFonts w:ascii="宋体" w:hAnsi="宋体" w:cs="宋体"/>
                <w:color w:val="000000"/>
                <w:sz w:val="21"/>
                <w:szCs w:val="21"/>
              </w:rPr>
              <w:t>CMI</w:t>
            </w:r>
            <w:r>
              <w:rPr>
                <w:rFonts w:hint="eastAsia" w:ascii="宋体" w:hAnsi="宋体" w:cs="宋体"/>
                <w:color w:val="000000"/>
                <w:sz w:val="21"/>
                <w:szCs w:val="21"/>
              </w:rPr>
              <w:t>值、</w:t>
            </w:r>
            <w:r>
              <w:rPr>
                <w:rFonts w:ascii="宋体" w:hAnsi="宋体" w:cs="宋体"/>
                <w:color w:val="000000"/>
                <w:sz w:val="21"/>
                <w:szCs w:val="21"/>
              </w:rPr>
              <w:t>DRG</w:t>
            </w:r>
            <w:r>
              <w:rPr>
                <w:rFonts w:hint="eastAsia" w:ascii="宋体" w:hAnsi="宋体" w:cs="宋体"/>
                <w:color w:val="000000"/>
                <w:sz w:val="21"/>
                <w:szCs w:val="21"/>
              </w:rPr>
              <w:t>总量、时间指数、费用指数、低风险死亡率、组数、平均费用、平均住院天数等指标。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权重大于</w:t>
            </w:r>
            <w:r>
              <w:rPr>
                <w:rFonts w:ascii="宋体" w:hAnsi="宋体" w:cs="宋体"/>
                <w:color w:val="000000"/>
                <w:sz w:val="21"/>
                <w:szCs w:val="21"/>
              </w:rPr>
              <w:t>2</w:t>
            </w:r>
            <w:r>
              <w:rPr>
                <w:rFonts w:hint="eastAsia" w:ascii="宋体" w:hAnsi="宋体" w:cs="宋体"/>
                <w:color w:val="000000"/>
                <w:sz w:val="21"/>
                <w:szCs w:val="21"/>
              </w:rPr>
              <w:t>的病例例数及比例</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w:t>
            </w:r>
            <w:r>
              <w:rPr>
                <w:rFonts w:ascii="宋体" w:hAnsi="宋体" w:cs="宋体"/>
                <w:color w:val="000000"/>
                <w:sz w:val="21"/>
                <w:szCs w:val="21"/>
              </w:rPr>
              <w:t>RW</w:t>
            </w:r>
            <w:r>
              <w:rPr>
                <w:rFonts w:hint="eastAsia" w:ascii="宋体" w:hAnsi="宋体" w:cs="宋体"/>
                <w:color w:val="000000"/>
                <w:sz w:val="21"/>
                <w:szCs w:val="21"/>
              </w:rPr>
              <w:t>值大于</w:t>
            </w:r>
            <w:r>
              <w:rPr>
                <w:rFonts w:ascii="宋体" w:hAnsi="宋体" w:cs="宋体"/>
                <w:color w:val="000000"/>
                <w:sz w:val="21"/>
                <w:szCs w:val="21"/>
              </w:rPr>
              <w:t>2(</w:t>
            </w:r>
            <w:r>
              <w:rPr>
                <w:rFonts w:hint="eastAsia" w:ascii="宋体" w:hAnsi="宋体" w:cs="宋体"/>
                <w:color w:val="000000"/>
                <w:sz w:val="21"/>
                <w:szCs w:val="21"/>
              </w:rPr>
              <w:t>即难度较大的病种</w:t>
            </w:r>
            <w:r>
              <w:rPr>
                <w:rFonts w:ascii="宋体" w:hAnsi="宋体" w:cs="宋体"/>
                <w:color w:val="000000"/>
                <w:sz w:val="21"/>
                <w:szCs w:val="21"/>
              </w:rPr>
              <w:t>)</w:t>
            </w:r>
            <w:r>
              <w:rPr>
                <w:rFonts w:hint="eastAsia" w:ascii="宋体" w:hAnsi="宋体" w:cs="宋体"/>
                <w:color w:val="000000"/>
                <w:sz w:val="21"/>
                <w:szCs w:val="21"/>
              </w:rPr>
              <w:t>的病例例数及比例。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权重大于</w:t>
            </w:r>
            <w:r>
              <w:rPr>
                <w:rFonts w:ascii="宋体" w:hAnsi="宋体" w:cs="宋体"/>
                <w:color w:val="000000"/>
                <w:sz w:val="21"/>
                <w:szCs w:val="21"/>
              </w:rPr>
              <w:t>2</w:t>
            </w:r>
            <w:r>
              <w:rPr>
                <w:rFonts w:hint="eastAsia" w:ascii="宋体" w:hAnsi="宋体" w:cs="宋体"/>
                <w:color w:val="000000"/>
                <w:sz w:val="21"/>
                <w:szCs w:val="21"/>
              </w:rPr>
              <w:t>的病例分段统计</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分三段查看全院不同难度病种的例数</w:t>
            </w:r>
          </w:p>
          <w:p>
            <w:pPr>
              <w:pStyle w:val="8"/>
              <w:widowControl/>
              <w:spacing w:line="360" w:lineRule="exact"/>
              <w:rPr>
                <w:rFonts w:ascii="宋体" w:hAnsi="宋体" w:cs="宋体"/>
                <w:color w:val="000000"/>
                <w:sz w:val="21"/>
                <w:szCs w:val="21"/>
              </w:rPr>
            </w:pPr>
            <w:r>
              <w:rPr>
                <w:rFonts w:ascii="宋体" w:hAnsi="宋体" w:cs="宋体"/>
                <w:color w:val="000000"/>
                <w:sz w:val="21"/>
                <w:szCs w:val="21"/>
              </w:rPr>
              <w:t>2</w:t>
            </w:r>
            <w:r>
              <w:rPr>
                <w:rFonts w:hint="eastAsia" w:ascii="宋体" w:hAnsi="宋体" w:cs="宋体"/>
                <w:color w:val="000000"/>
                <w:sz w:val="21"/>
                <w:szCs w:val="21"/>
              </w:rPr>
              <w:t>≤</w:t>
            </w:r>
            <w:r>
              <w:rPr>
                <w:rFonts w:ascii="宋体" w:hAnsi="宋体" w:cs="宋体"/>
                <w:color w:val="000000"/>
                <w:sz w:val="21"/>
                <w:szCs w:val="21"/>
              </w:rPr>
              <w:t>RW</w:t>
            </w:r>
            <w:r>
              <w:rPr>
                <w:rFonts w:hint="eastAsia" w:ascii="宋体" w:hAnsi="宋体" w:cs="宋体"/>
                <w:color w:val="000000"/>
                <w:sz w:val="21"/>
                <w:szCs w:val="21"/>
              </w:rPr>
              <w:t>＜</w:t>
            </w:r>
            <w:r>
              <w:rPr>
                <w:rFonts w:ascii="宋体" w:hAnsi="宋体" w:cs="宋体"/>
                <w:color w:val="000000"/>
                <w:sz w:val="21"/>
                <w:szCs w:val="21"/>
              </w:rPr>
              <w:t>5</w:t>
            </w:r>
            <w:r>
              <w:rPr>
                <w:rFonts w:hint="eastAsia" w:ascii="宋体" w:hAnsi="宋体" w:cs="宋体"/>
                <w:color w:val="000000"/>
                <w:sz w:val="21"/>
                <w:szCs w:val="21"/>
              </w:rPr>
              <w:t>、</w:t>
            </w:r>
            <w:r>
              <w:rPr>
                <w:rFonts w:ascii="宋体" w:hAnsi="宋体" w:cs="宋体"/>
                <w:color w:val="000000"/>
                <w:sz w:val="21"/>
                <w:szCs w:val="21"/>
              </w:rPr>
              <w:t>5</w:t>
            </w:r>
            <w:r>
              <w:rPr>
                <w:rFonts w:hint="eastAsia" w:ascii="宋体" w:hAnsi="宋体" w:cs="宋体"/>
                <w:color w:val="000000"/>
                <w:sz w:val="21"/>
                <w:szCs w:val="21"/>
              </w:rPr>
              <w:t>≤</w:t>
            </w:r>
            <w:r>
              <w:rPr>
                <w:rFonts w:ascii="宋体" w:hAnsi="宋体" w:cs="宋体"/>
                <w:color w:val="000000"/>
                <w:sz w:val="21"/>
                <w:szCs w:val="21"/>
              </w:rPr>
              <w:t>RW</w:t>
            </w:r>
            <w:r>
              <w:rPr>
                <w:rFonts w:hint="eastAsia" w:ascii="宋体" w:hAnsi="宋体" w:cs="宋体"/>
                <w:color w:val="000000"/>
                <w:sz w:val="21"/>
                <w:szCs w:val="21"/>
              </w:rPr>
              <w:t>＜</w:t>
            </w:r>
            <w:r>
              <w:rPr>
                <w:rFonts w:ascii="宋体" w:hAnsi="宋体" w:cs="宋体"/>
                <w:color w:val="000000"/>
                <w:sz w:val="21"/>
                <w:szCs w:val="21"/>
              </w:rPr>
              <w:t>10</w:t>
            </w:r>
            <w:r>
              <w:rPr>
                <w:rFonts w:hint="eastAsia" w:ascii="宋体" w:hAnsi="宋体" w:cs="宋体"/>
                <w:color w:val="000000"/>
                <w:sz w:val="21"/>
                <w:szCs w:val="21"/>
              </w:rPr>
              <w:t>、≥</w:t>
            </w:r>
            <w:r>
              <w:rPr>
                <w:rFonts w:ascii="宋体" w:hAnsi="宋体" w:cs="宋体"/>
                <w:color w:val="00000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三四级手术例数及占比</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查看全院手术例数、三级、四级以及三四级手术比例。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ascii="宋体" w:hAnsi="宋体" w:cs="宋体"/>
                <w:color w:val="000000"/>
                <w:sz w:val="21"/>
                <w:szCs w:val="21"/>
              </w:rPr>
              <w:t>DRGs</w:t>
            </w:r>
            <w:r>
              <w:rPr>
                <w:rFonts w:hint="eastAsia" w:ascii="宋体" w:hAnsi="宋体" w:cs="宋体"/>
                <w:color w:val="000000"/>
                <w:sz w:val="21"/>
                <w:szCs w:val="21"/>
              </w:rPr>
              <w:t>分组明细</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查看全院每个病例的分组明细数据，包含病人信息，主要疾病，手术以及所入的</w:t>
            </w:r>
            <w:r>
              <w:rPr>
                <w:rFonts w:ascii="宋体" w:hAnsi="宋体" w:cs="宋体"/>
                <w:color w:val="000000"/>
                <w:sz w:val="21"/>
                <w:szCs w:val="21"/>
              </w:rPr>
              <w:t>DRGs</w:t>
            </w:r>
            <w:r>
              <w:rPr>
                <w:rFonts w:hint="eastAsia" w:ascii="宋体" w:hAnsi="宋体" w:cs="宋体"/>
                <w:color w:val="000000"/>
                <w:sz w:val="21"/>
                <w:szCs w:val="21"/>
              </w:rPr>
              <w:t>组和组的权重。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单病种分组明细</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查看全院每个病例的所属的单病种名称。不属于单病种的则不列出。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科室CMI</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按照科室统计出，每个科室的</w:t>
            </w:r>
            <w:r>
              <w:rPr>
                <w:rFonts w:ascii="宋体" w:hAnsi="宋体" w:cs="宋体"/>
                <w:color w:val="000000"/>
                <w:sz w:val="21"/>
                <w:szCs w:val="21"/>
              </w:rPr>
              <w:t>CMI</w:t>
            </w:r>
            <w:r>
              <w:rPr>
                <w:rFonts w:hint="eastAsia" w:ascii="宋体" w:hAnsi="宋体" w:cs="宋体"/>
                <w:color w:val="000000"/>
                <w:sz w:val="21"/>
                <w:szCs w:val="21"/>
              </w:rPr>
              <w:t>、</w:t>
            </w:r>
            <w:r>
              <w:rPr>
                <w:rFonts w:ascii="宋体" w:hAnsi="宋体" w:cs="宋体"/>
                <w:color w:val="000000"/>
                <w:sz w:val="21"/>
                <w:szCs w:val="21"/>
              </w:rPr>
              <w:t>DRGs</w:t>
            </w:r>
            <w:r>
              <w:rPr>
                <w:rFonts w:hint="eastAsia" w:ascii="宋体" w:hAnsi="宋体" w:cs="宋体"/>
                <w:color w:val="000000"/>
                <w:sz w:val="21"/>
                <w:szCs w:val="21"/>
              </w:rPr>
              <w:t>总量、病例数、平均费用、平均药费、耗材费、住院天数等指标。包含图表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医生CMI</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按照医生级别</w:t>
            </w:r>
            <w:r>
              <w:rPr>
                <w:rFonts w:ascii="宋体" w:hAnsi="宋体" w:cs="宋体"/>
                <w:color w:val="000000"/>
                <w:sz w:val="21"/>
                <w:szCs w:val="21"/>
              </w:rPr>
              <w:t>(</w:t>
            </w:r>
            <w:r>
              <w:rPr>
                <w:rFonts w:hint="eastAsia" w:ascii="宋体" w:hAnsi="宋体" w:cs="宋体"/>
                <w:color w:val="000000"/>
                <w:sz w:val="21"/>
                <w:szCs w:val="21"/>
              </w:rPr>
              <w:t>科主任、主任、住院、主治医师</w:t>
            </w:r>
            <w:r>
              <w:rPr>
                <w:rFonts w:ascii="宋体" w:hAnsi="宋体" w:cs="宋体"/>
                <w:color w:val="000000"/>
                <w:sz w:val="21"/>
                <w:szCs w:val="21"/>
              </w:rPr>
              <w:t>)</w:t>
            </w:r>
            <w:r>
              <w:rPr>
                <w:rFonts w:hint="eastAsia" w:ascii="宋体" w:hAnsi="宋体" w:cs="宋体"/>
                <w:color w:val="000000"/>
                <w:sz w:val="21"/>
                <w:szCs w:val="21"/>
              </w:rPr>
              <w:t>统计出，每个医生的</w:t>
            </w:r>
            <w:r>
              <w:rPr>
                <w:rFonts w:ascii="宋体" w:hAnsi="宋体" w:cs="宋体"/>
                <w:color w:val="000000"/>
                <w:sz w:val="21"/>
                <w:szCs w:val="21"/>
              </w:rPr>
              <w:t>CMI</w:t>
            </w:r>
            <w:r>
              <w:rPr>
                <w:rFonts w:hint="eastAsia" w:ascii="宋体" w:hAnsi="宋体" w:cs="宋体"/>
                <w:color w:val="000000"/>
                <w:sz w:val="21"/>
                <w:szCs w:val="21"/>
              </w:rPr>
              <w:t>、</w:t>
            </w:r>
            <w:r>
              <w:rPr>
                <w:rFonts w:ascii="宋体" w:hAnsi="宋体" w:cs="宋体"/>
                <w:color w:val="000000"/>
                <w:sz w:val="21"/>
                <w:szCs w:val="21"/>
              </w:rPr>
              <w:t>DRGs</w:t>
            </w:r>
            <w:r>
              <w:rPr>
                <w:rFonts w:hint="eastAsia" w:ascii="宋体" w:hAnsi="宋体" w:cs="宋体"/>
                <w:color w:val="000000"/>
                <w:sz w:val="21"/>
                <w:szCs w:val="21"/>
              </w:rPr>
              <w:t>总量、病例数、平均费用、平均药费、耗材费、住院天数等指标。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全院手术报表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按照科室统计出，每个科室的手术例数、其中一二三四级手术各占多少，以及三四级手术的比例。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医生手术报表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按照医生统计出，每个医生的主刀或者作为助手参与的手术例数、其中一二三四级手术各占多少，以及三四级手术的比例。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w:t>
            </w:r>
            <w:r>
              <w:rPr>
                <w:rFonts w:ascii="宋体" w:hAnsi="宋体" w:cs="宋体"/>
                <w:color w:val="000000"/>
                <w:sz w:val="21"/>
                <w:szCs w:val="21"/>
              </w:rPr>
              <w:t>CMI</w:t>
            </w:r>
            <w:r>
              <w:rPr>
                <w:rFonts w:hint="eastAsia" w:ascii="宋体" w:hAnsi="宋体" w:cs="宋体"/>
                <w:color w:val="000000"/>
                <w:sz w:val="21"/>
                <w:szCs w:val="21"/>
              </w:rPr>
              <w:t>变化</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以图表的形式，直观的展现该时间段内全院出院人数以及</w:t>
            </w:r>
            <w:r>
              <w:rPr>
                <w:rFonts w:ascii="宋体" w:hAnsi="宋体" w:cs="宋体"/>
                <w:color w:val="000000"/>
                <w:sz w:val="21"/>
                <w:szCs w:val="21"/>
              </w:rPr>
              <w:t>CMI</w:t>
            </w:r>
            <w:r>
              <w:rPr>
                <w:rFonts w:hint="eastAsia" w:ascii="宋体" w:hAnsi="宋体" w:cs="宋体"/>
                <w:color w:val="000000"/>
                <w:sz w:val="21"/>
                <w:szCs w:val="21"/>
              </w:rPr>
              <w:t>值的变化曲线图。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全院病种结构</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分病种统计，显示全院各个病种的分布情况，包含人数、占比、平均</w:t>
            </w:r>
            <w:r>
              <w:rPr>
                <w:rFonts w:ascii="宋体" w:hAnsi="宋体" w:cs="宋体"/>
                <w:color w:val="000000"/>
                <w:sz w:val="21"/>
                <w:szCs w:val="21"/>
              </w:rPr>
              <w:t>RW</w:t>
            </w:r>
            <w:r>
              <w:rPr>
                <w:rFonts w:hint="eastAsia" w:ascii="宋体" w:hAnsi="宋体" w:cs="宋体"/>
                <w:color w:val="000000"/>
                <w:sz w:val="21"/>
                <w:szCs w:val="21"/>
              </w:rPr>
              <w:t>、平均住院日、平均总费用等指标。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科室病种结构报表</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分科室统计，显示各科室的病种分布情况，包含人数、占比、平均</w:t>
            </w:r>
            <w:r>
              <w:rPr>
                <w:rFonts w:ascii="宋体" w:hAnsi="宋体" w:cs="宋体"/>
                <w:color w:val="000000"/>
                <w:sz w:val="21"/>
                <w:szCs w:val="21"/>
              </w:rPr>
              <w:t>RW</w:t>
            </w:r>
            <w:r>
              <w:rPr>
                <w:rFonts w:hint="eastAsia" w:ascii="宋体" w:hAnsi="宋体" w:cs="宋体"/>
                <w:color w:val="000000"/>
                <w:sz w:val="21"/>
                <w:szCs w:val="21"/>
              </w:rPr>
              <w:t>、平均住院日、平均总费用等指标。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医院手术明细查询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分科室统计，显示各科室的手术明细数据，包含手术名称、级别、主刀、一助二助、病人基本信息等。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numPr>
                <w:ilvl w:val="0"/>
                <w:numId w:val="1"/>
              </w:numPr>
              <w:spacing w:line="360" w:lineRule="exact"/>
              <w:rPr>
                <w:rFonts w:ascii="宋体" w:hAnsi="宋体" w:cs="宋体"/>
                <w:color w:val="000000"/>
                <w:sz w:val="21"/>
                <w:szCs w:val="21"/>
              </w:rPr>
            </w:pPr>
          </w:p>
        </w:tc>
        <w:tc>
          <w:tcPr>
            <w:tcW w:w="1316"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低风险死亡查询</w:t>
            </w:r>
          </w:p>
        </w:tc>
        <w:tc>
          <w:tcPr>
            <w:tcW w:w="3070" w:type="pct"/>
            <w:tcBorders>
              <w:top w:val="single" w:color="000000" w:sz="8" w:space="0"/>
              <w:left w:val="single" w:color="000000" w:sz="8" w:space="0"/>
              <w:bottom w:val="single" w:color="000000" w:sz="8" w:space="0"/>
              <w:right w:val="single" w:color="000000" w:sz="8" w:space="0"/>
            </w:tcBorders>
            <w:noWrap w:val="0"/>
            <w:vAlign w:val="center"/>
          </w:tcPr>
          <w:p>
            <w:pPr>
              <w:pStyle w:val="8"/>
              <w:widowControl/>
              <w:spacing w:line="360" w:lineRule="exact"/>
              <w:rPr>
                <w:rFonts w:ascii="宋体" w:hAnsi="宋体" w:cs="宋体"/>
                <w:color w:val="000000"/>
                <w:sz w:val="21"/>
                <w:szCs w:val="21"/>
              </w:rPr>
            </w:pPr>
            <w:r>
              <w:rPr>
                <w:rFonts w:hint="eastAsia" w:ascii="宋体" w:hAnsi="宋体" w:cs="宋体"/>
                <w:color w:val="000000"/>
                <w:sz w:val="21"/>
                <w:szCs w:val="21"/>
              </w:rPr>
              <w:t>查询低风险组死亡病例，显示病人信息、出院科室、</w:t>
            </w:r>
            <w:r>
              <w:rPr>
                <w:rFonts w:ascii="宋体" w:hAnsi="宋体" w:cs="宋体"/>
                <w:color w:val="000000"/>
                <w:sz w:val="21"/>
                <w:szCs w:val="21"/>
              </w:rPr>
              <w:t>DRGs</w:t>
            </w:r>
            <w:r>
              <w:rPr>
                <w:rFonts w:hint="eastAsia" w:ascii="宋体" w:hAnsi="宋体" w:cs="宋体"/>
                <w:color w:val="000000"/>
                <w:sz w:val="21"/>
                <w:szCs w:val="21"/>
              </w:rPr>
              <w:t>组、死亡风险等指标</w:t>
            </w:r>
          </w:p>
        </w:tc>
      </w:tr>
    </w:tbl>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val="0"/>
          <w:bCs w:val="0"/>
          <w:sz w:val="21"/>
          <w:szCs w:val="21"/>
          <w:lang w:val="en-US" w:eastAsia="zh-CN"/>
        </w:rPr>
      </w:pPr>
    </w:p>
    <w:p>
      <w:pPr>
        <w:numPr>
          <w:ilvl w:val="0"/>
          <w:numId w:val="0"/>
        </w:numPr>
        <w:spacing w:line="360" w:lineRule="auto"/>
        <w:rPr>
          <w:rFonts w:hint="eastAsia" w:ascii="宋体" w:hAnsi="宋体" w:cs="宋体"/>
          <w:b/>
          <w:bCs/>
          <w:sz w:val="21"/>
          <w:szCs w:val="21"/>
          <w:lang w:val="en-US" w:eastAsia="zh-CN"/>
        </w:rPr>
      </w:pPr>
      <w:r>
        <w:rPr>
          <w:rFonts w:hint="eastAsia" w:ascii="宋体" w:hAnsi="宋体" w:cs="宋体"/>
          <w:b/>
          <w:bCs/>
          <w:sz w:val="21"/>
          <w:szCs w:val="21"/>
          <w:lang w:val="en-US" w:eastAsia="zh-CN"/>
        </w:rPr>
        <w:t>附件2：</w:t>
      </w:r>
    </w:p>
    <w:p>
      <w:pPr>
        <w:numPr>
          <w:ilvl w:val="0"/>
          <w:numId w:val="0"/>
        </w:numPr>
        <w:spacing w:line="360" w:lineRule="auto"/>
        <w:rPr>
          <w:rFonts w:hint="eastAsia" w:ascii="宋体" w:hAnsi="宋体" w:eastAsia="宋体"/>
          <w:b/>
          <w:bCs/>
          <w:color w:val="000000"/>
          <w:sz w:val="21"/>
          <w:szCs w:val="21"/>
          <w:lang w:val="zh-CN"/>
        </w:rPr>
      </w:pPr>
      <w:r>
        <w:rPr>
          <w:rFonts w:hint="eastAsia" w:ascii="宋体" w:hAnsi="宋体" w:cs="宋体"/>
          <w:b/>
          <w:bCs/>
          <w:sz w:val="21"/>
          <w:szCs w:val="21"/>
          <w:lang w:val="en-US" w:eastAsia="zh-CN"/>
        </w:rPr>
        <w:t>服务要求</w:t>
      </w:r>
      <w:r>
        <w:rPr>
          <w:rFonts w:hint="eastAsia" w:ascii="宋体" w:hAnsi="宋体" w:cs="宋体"/>
          <w:b/>
          <w:bCs/>
          <w:sz w:val="21"/>
          <w:szCs w:val="21"/>
          <w:lang w:eastAsia="zh-CN"/>
        </w:rPr>
        <w:t>：</w:t>
      </w:r>
      <w:r>
        <w:rPr>
          <w:rFonts w:hint="eastAsia" w:ascii="宋体" w:hAnsi="宋体" w:eastAsia="宋体"/>
          <w:b/>
          <w:bCs/>
          <w:color w:val="000000"/>
          <w:sz w:val="21"/>
          <w:szCs w:val="21"/>
          <w:lang w:val="zh-CN"/>
        </w:rPr>
        <w:t>在维护服务期内，由</w:t>
      </w:r>
      <w:r>
        <w:rPr>
          <w:rFonts w:hint="eastAsia" w:ascii="宋体" w:hAnsi="宋体" w:eastAsia="宋体"/>
          <w:b/>
          <w:bCs/>
          <w:color w:val="000000"/>
          <w:sz w:val="21"/>
          <w:szCs w:val="21"/>
          <w:lang w:val="en-US" w:eastAsia="zh-CN"/>
        </w:rPr>
        <w:t>乙方</w:t>
      </w:r>
      <w:r>
        <w:rPr>
          <w:rFonts w:hint="eastAsia" w:ascii="宋体" w:hAnsi="宋体" w:eastAsia="宋体"/>
          <w:b/>
          <w:bCs/>
          <w:color w:val="000000"/>
          <w:sz w:val="21"/>
          <w:szCs w:val="21"/>
          <w:lang w:val="zh-CN"/>
        </w:rPr>
        <w:t>为</w:t>
      </w:r>
      <w:r>
        <w:rPr>
          <w:rFonts w:hint="eastAsia" w:ascii="宋体" w:hAnsi="宋体" w:eastAsia="宋体"/>
          <w:b/>
          <w:bCs/>
          <w:color w:val="000000"/>
          <w:sz w:val="21"/>
          <w:szCs w:val="21"/>
          <w:lang w:val="en-US" w:eastAsia="zh-CN"/>
        </w:rPr>
        <w:t>甲方</w:t>
      </w:r>
      <w:r>
        <w:rPr>
          <w:rFonts w:hint="eastAsia" w:ascii="宋体" w:hAnsi="宋体" w:eastAsia="宋体"/>
          <w:b/>
          <w:bCs/>
          <w:color w:val="000000"/>
          <w:sz w:val="21"/>
          <w:szCs w:val="21"/>
          <w:lang w:val="zh-CN"/>
        </w:rPr>
        <w:t>提供医院质量管理与绩效评价平台维护服务。</w:t>
      </w:r>
    </w:p>
    <w:tbl>
      <w:tblPr>
        <w:tblStyle w:val="11"/>
        <w:tblW w:w="9215" w:type="dxa"/>
        <w:tblInd w:w="-441" w:type="dxa"/>
        <w:tblLayout w:type="fixed"/>
        <w:tblCellMar>
          <w:top w:w="0" w:type="dxa"/>
          <w:left w:w="28" w:type="dxa"/>
          <w:bottom w:w="0" w:type="dxa"/>
          <w:right w:w="28" w:type="dxa"/>
        </w:tblCellMar>
      </w:tblPr>
      <w:tblGrid>
        <w:gridCol w:w="568"/>
        <w:gridCol w:w="992"/>
        <w:gridCol w:w="4536"/>
        <w:gridCol w:w="1985"/>
        <w:gridCol w:w="1134"/>
      </w:tblGrid>
      <w:tr>
        <w:tblPrEx>
          <w:tblCellMar>
            <w:top w:w="0" w:type="dxa"/>
            <w:left w:w="28" w:type="dxa"/>
            <w:bottom w:w="0" w:type="dxa"/>
            <w:right w:w="28" w:type="dxa"/>
          </w:tblCellMar>
        </w:tblPrEx>
        <w:trPr>
          <w:trHeight w:val="866"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b/>
                <w:bCs/>
                <w:sz w:val="21"/>
                <w:szCs w:val="21"/>
              </w:rPr>
              <w:t>序号</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b/>
                <w:bCs/>
                <w:sz w:val="21"/>
                <w:szCs w:val="21"/>
              </w:rPr>
            </w:pPr>
            <w:r>
              <w:rPr>
                <w:rFonts w:hint="eastAsia" w:ascii="宋体" w:hAnsi="宋体" w:eastAsia="宋体" w:cs="宋体"/>
                <w:b/>
                <w:bCs/>
                <w:sz w:val="21"/>
                <w:szCs w:val="21"/>
              </w:rPr>
              <w:t>服务项目</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服务内容（均限定为合同范围）</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服务方式</w:t>
            </w:r>
          </w:p>
        </w:tc>
        <w:tc>
          <w:tcPr>
            <w:tcW w:w="1134" w:type="dxa"/>
            <w:tcBorders>
              <w:top w:val="single" w:color="000000" w:sz="12" w:space="0"/>
              <w:left w:val="single" w:color="000000" w:sz="6" w:space="0"/>
              <w:right w:val="single" w:color="auto" w:sz="4" w:space="0"/>
            </w:tcBorders>
            <w:noWrap w:val="0"/>
            <w:vAlign w:val="center"/>
          </w:tcPr>
          <w:p>
            <w:pPr>
              <w:autoSpaceDE w:val="0"/>
              <w:autoSpaceDN w:val="0"/>
              <w:spacing w:line="276" w:lineRule="auto"/>
              <w:jc w:val="center"/>
              <w:textAlignment w:val="bottom"/>
              <w:rPr>
                <w:rFonts w:hint="eastAsia" w:ascii="宋体" w:hAnsi="宋体" w:eastAsia="宋体" w:cs="宋体"/>
                <w:b/>
                <w:bCs/>
                <w:sz w:val="21"/>
                <w:szCs w:val="21"/>
              </w:rPr>
            </w:pPr>
            <w:r>
              <w:rPr>
                <w:rFonts w:hint="eastAsia" w:ascii="宋体" w:hAnsi="宋体" w:eastAsia="宋体" w:cs="宋体"/>
                <w:b/>
                <w:bCs/>
                <w:sz w:val="21"/>
                <w:szCs w:val="21"/>
              </w:rPr>
              <w:t>响应时间（工作日）</w:t>
            </w:r>
          </w:p>
        </w:tc>
      </w:tr>
      <w:tr>
        <w:tblPrEx>
          <w:tblCellMar>
            <w:top w:w="0" w:type="dxa"/>
            <w:left w:w="28" w:type="dxa"/>
            <w:bottom w:w="0" w:type="dxa"/>
            <w:right w:w="28" w:type="dxa"/>
          </w:tblCellMar>
        </w:tblPrEx>
        <w:trPr>
          <w:trHeight w:val="538"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软件功能适应性维护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1</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咨询服务</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软件功能的应用咨询</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2小时内响应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2</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bCs/>
                <w:sz w:val="21"/>
                <w:szCs w:val="21"/>
              </w:rPr>
            </w:pPr>
            <w:r>
              <w:rPr>
                <w:rFonts w:hint="eastAsia" w:ascii="宋体" w:hAnsi="宋体" w:eastAsia="宋体" w:cs="宋体"/>
                <w:bCs/>
                <w:sz w:val="21"/>
                <w:szCs w:val="21"/>
              </w:rPr>
              <w:t>故障排除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bCs/>
                <w:sz w:val="21"/>
                <w:szCs w:val="21"/>
              </w:rPr>
              <w:t>软件应用过程中出现功能错误，协助查找、排除软件故障，保证系统功能正常运行。</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1小时内响应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3</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数据维护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无法由</w:t>
            </w:r>
            <w:r>
              <w:rPr>
                <w:rFonts w:hint="eastAsia" w:ascii="宋体" w:hAnsi="宋体" w:eastAsia="宋体" w:cs="宋体"/>
                <w:sz w:val="21"/>
                <w:szCs w:val="21"/>
                <w:lang w:val="en-US" w:eastAsia="zh-CN"/>
              </w:rPr>
              <w:t>甲方</w:t>
            </w:r>
            <w:r>
              <w:rPr>
                <w:rFonts w:hint="eastAsia" w:ascii="宋体" w:hAnsi="宋体" w:eastAsia="宋体" w:cs="宋体"/>
                <w:sz w:val="21"/>
                <w:szCs w:val="21"/>
              </w:rPr>
              <w:t>自行完成的数据字典维护；</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3小时内响应</w:t>
            </w:r>
          </w:p>
        </w:tc>
      </w:tr>
      <w:tr>
        <w:tblPrEx>
          <w:tblCellMar>
            <w:top w:w="0" w:type="dxa"/>
            <w:left w:w="28" w:type="dxa"/>
            <w:bottom w:w="0" w:type="dxa"/>
            <w:right w:w="28" w:type="dxa"/>
          </w:tblCellMar>
        </w:tblPrEx>
        <w:trPr>
          <w:trHeight w:val="647" w:hRule="atLeast"/>
        </w:trPr>
        <w:tc>
          <w:tcPr>
            <w:tcW w:w="9215" w:type="dxa"/>
            <w:gridSpan w:val="5"/>
            <w:tcBorders>
              <w:top w:val="single" w:color="000000" w:sz="12" w:space="0"/>
              <w:left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color w:val="000000"/>
                <w:sz w:val="21"/>
                <w:szCs w:val="21"/>
                <w:lang w:val="zh-CN"/>
              </w:rPr>
              <w:t>数据维护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992" w:type="dxa"/>
            <w:tcBorders>
              <w:top w:val="single" w:color="000000" w:sz="12" w:space="0"/>
              <w:left w:val="single" w:color="auto" w:sz="4" w:space="0"/>
              <w:right w:val="single" w:color="auto" w:sz="4"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特殊服务</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color w:val="000000"/>
                <w:sz w:val="21"/>
                <w:szCs w:val="21"/>
                <w:lang w:val="zh-CN"/>
              </w:rPr>
              <w:t>系统灾难发生时，</w:t>
            </w:r>
            <w:r>
              <w:rPr>
                <w:rFonts w:hint="eastAsia" w:ascii="宋体" w:hAnsi="宋体" w:eastAsia="宋体" w:cs="宋体"/>
                <w:color w:val="000000"/>
                <w:sz w:val="21"/>
                <w:szCs w:val="21"/>
                <w:lang w:val="en-US" w:eastAsia="zh-CN"/>
              </w:rPr>
              <w:t>乙方</w:t>
            </w:r>
            <w:r>
              <w:rPr>
                <w:rFonts w:hint="eastAsia" w:ascii="宋体" w:hAnsi="宋体" w:eastAsia="宋体" w:cs="宋体"/>
                <w:color w:val="000000"/>
                <w:sz w:val="21"/>
                <w:szCs w:val="21"/>
                <w:lang w:val="zh-CN"/>
              </w:rPr>
              <w:t>承诺立即响应，减少数据损失，降低灾难对整个系统正常运行的影响。</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立即响应</w:t>
            </w:r>
          </w:p>
        </w:tc>
      </w:tr>
      <w:tr>
        <w:tblPrEx>
          <w:tblCellMar>
            <w:top w:w="0" w:type="dxa"/>
            <w:left w:w="28" w:type="dxa"/>
            <w:bottom w:w="0" w:type="dxa"/>
            <w:right w:w="28" w:type="dxa"/>
          </w:tblCellMar>
        </w:tblPrEx>
        <w:trPr>
          <w:trHeight w:val="266"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纠错性维护</w:t>
            </w:r>
          </w:p>
        </w:tc>
      </w:tr>
      <w:tr>
        <w:tblPrEx>
          <w:tblCellMar>
            <w:top w:w="0" w:type="dxa"/>
            <w:left w:w="28" w:type="dxa"/>
            <w:bottom w:w="0" w:type="dxa"/>
            <w:right w:w="28" w:type="dxa"/>
          </w:tblCellMar>
        </w:tblPrEx>
        <w:trPr>
          <w:trHeight w:val="1332"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数据适应功能性调整</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由于程序修改或增加功能所引起的数据错误的改正；</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4小时内响应</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992" w:type="dxa"/>
            <w:tcBorders>
              <w:top w:val="single" w:color="000000" w:sz="12" w:space="0"/>
              <w:left w:val="single" w:color="auto" w:sz="4"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数据调整</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因</w:t>
            </w:r>
            <w:r>
              <w:rPr>
                <w:rFonts w:hint="eastAsia" w:ascii="宋体" w:hAnsi="宋体" w:eastAsia="宋体" w:cs="宋体"/>
                <w:sz w:val="21"/>
                <w:szCs w:val="21"/>
                <w:lang w:val="en-US" w:eastAsia="zh-CN"/>
              </w:rPr>
              <w:t>甲方</w:t>
            </w:r>
            <w:r>
              <w:rPr>
                <w:rFonts w:hint="eastAsia" w:ascii="宋体" w:hAnsi="宋体" w:eastAsia="宋体" w:cs="宋体"/>
                <w:sz w:val="21"/>
                <w:szCs w:val="21"/>
              </w:rPr>
              <w:t>操作不当或其它原因造成数据出现部分或全部错误，</w:t>
            </w:r>
            <w:r>
              <w:rPr>
                <w:rFonts w:hint="eastAsia" w:ascii="宋体" w:hAnsi="宋体" w:eastAsia="宋体" w:cs="宋体"/>
                <w:sz w:val="21"/>
                <w:szCs w:val="21"/>
                <w:lang w:val="en-US" w:eastAsia="zh-CN"/>
              </w:rPr>
              <w:t>乙方</w:t>
            </w:r>
            <w:r>
              <w:rPr>
                <w:rFonts w:hint="eastAsia" w:ascii="宋体" w:hAnsi="宋体" w:eastAsia="宋体" w:cs="宋体"/>
                <w:sz w:val="21"/>
                <w:szCs w:val="21"/>
              </w:rPr>
              <w:t>协助</w:t>
            </w:r>
            <w:r>
              <w:rPr>
                <w:rFonts w:hint="eastAsia" w:ascii="宋体" w:hAnsi="宋体" w:eastAsia="宋体" w:cs="宋体"/>
                <w:sz w:val="21"/>
                <w:szCs w:val="21"/>
                <w:lang w:val="en-US" w:eastAsia="zh-CN"/>
              </w:rPr>
              <w:t>甲方</w:t>
            </w:r>
            <w:r>
              <w:rPr>
                <w:rFonts w:hint="eastAsia" w:ascii="宋体" w:hAnsi="宋体" w:eastAsia="宋体" w:cs="宋体"/>
                <w:sz w:val="21"/>
                <w:szCs w:val="21"/>
              </w:rPr>
              <w:t>系统维护人员进行数据调整。</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bCs/>
                <w:sz w:val="21"/>
                <w:szCs w:val="21"/>
              </w:rPr>
            </w:pPr>
            <w:r>
              <w:rPr>
                <w:rFonts w:hint="eastAsia" w:ascii="宋体" w:hAnsi="宋体" w:eastAsia="宋体" w:cs="宋体"/>
                <w:sz w:val="21"/>
                <w:szCs w:val="21"/>
              </w:rPr>
              <w:t>2小时内响应</w:t>
            </w:r>
          </w:p>
        </w:tc>
      </w:tr>
      <w:tr>
        <w:tblPrEx>
          <w:tblCellMar>
            <w:top w:w="0" w:type="dxa"/>
            <w:left w:w="28" w:type="dxa"/>
            <w:bottom w:w="0" w:type="dxa"/>
            <w:right w:w="28" w:type="dxa"/>
          </w:tblCellMar>
        </w:tblPrEx>
        <w:trPr>
          <w:trHeight w:val="266"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color w:val="000000"/>
                <w:sz w:val="21"/>
                <w:szCs w:val="21"/>
                <w:lang w:val="zh-CN"/>
              </w:rPr>
              <w:t>功能应用维护</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992" w:type="dxa"/>
            <w:tcBorders>
              <w:top w:val="single" w:color="000000" w:sz="12" w:space="0"/>
              <w:left w:val="single" w:color="auto" w:sz="4" w:space="0"/>
              <w:right w:val="single" w:color="auto" w:sz="4" w:space="0"/>
            </w:tcBorders>
            <w:noWrap w:val="0"/>
            <w:vAlign w:val="center"/>
          </w:tcPr>
          <w:p>
            <w:pPr>
              <w:autoSpaceDE w:val="0"/>
              <w:autoSpaceDN w:val="0"/>
              <w:textAlignment w:val="bottom"/>
              <w:rPr>
                <w:rFonts w:hint="eastAsia" w:ascii="宋体" w:hAnsi="宋体" w:eastAsia="宋体" w:cs="宋体"/>
                <w:sz w:val="21"/>
                <w:szCs w:val="21"/>
              </w:rPr>
            </w:pPr>
            <w:r>
              <w:rPr>
                <w:rFonts w:hint="eastAsia" w:ascii="宋体" w:hAnsi="宋体" w:eastAsia="宋体" w:cs="宋体"/>
                <w:sz w:val="21"/>
                <w:szCs w:val="21"/>
              </w:rPr>
              <w:t>日常维护</w:t>
            </w:r>
          </w:p>
        </w:tc>
        <w:tc>
          <w:tcPr>
            <w:tcW w:w="4536"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bCs/>
                <w:sz w:val="21"/>
                <w:szCs w:val="21"/>
              </w:rPr>
              <w:t>协助</w:t>
            </w:r>
            <w:r>
              <w:rPr>
                <w:rFonts w:hint="eastAsia" w:ascii="宋体" w:hAnsi="宋体" w:eastAsia="宋体" w:cs="宋体"/>
                <w:bCs/>
                <w:sz w:val="21"/>
                <w:szCs w:val="21"/>
                <w:lang w:val="en-US" w:eastAsia="zh-CN"/>
              </w:rPr>
              <w:t>甲方</w:t>
            </w:r>
            <w:r>
              <w:rPr>
                <w:rFonts w:hint="eastAsia" w:ascii="宋体" w:hAnsi="宋体" w:eastAsia="宋体" w:cs="宋体"/>
                <w:color w:val="000000"/>
                <w:sz w:val="21"/>
                <w:szCs w:val="21"/>
                <w:lang w:val="zh-CN"/>
              </w:rPr>
              <w:t>建立日常维护记录，定期与</w:t>
            </w:r>
            <w:r>
              <w:rPr>
                <w:rFonts w:hint="eastAsia" w:ascii="宋体" w:hAnsi="宋体" w:eastAsia="宋体" w:cs="宋体"/>
                <w:color w:val="000000"/>
                <w:sz w:val="21"/>
                <w:szCs w:val="21"/>
                <w:lang w:val="en-US" w:eastAsia="zh-CN"/>
              </w:rPr>
              <w:t>甲方</w:t>
            </w:r>
            <w:r>
              <w:rPr>
                <w:rFonts w:hint="eastAsia" w:ascii="宋体" w:hAnsi="宋体" w:eastAsia="宋体" w:cs="宋体"/>
                <w:color w:val="000000"/>
                <w:sz w:val="21"/>
                <w:szCs w:val="21"/>
                <w:lang w:val="zh-CN"/>
              </w:rPr>
              <w:t>系统管理人员共同检查系统运行情况，并形成系统维护记录制度和系统管理规范</w:t>
            </w:r>
          </w:p>
        </w:tc>
        <w:tc>
          <w:tcPr>
            <w:tcW w:w="1985"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left"/>
              <w:textAlignment w:val="bottom"/>
              <w:rPr>
                <w:rFonts w:hint="eastAsia" w:ascii="宋体" w:hAnsi="宋体" w:eastAsia="宋体" w:cs="宋体"/>
                <w:bCs/>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right w:val="single" w:color="000000" w:sz="6" w:space="0"/>
            </w:tcBorders>
            <w:noWrap w:val="0"/>
            <w:vAlign w:val="center"/>
          </w:tcPr>
          <w:p>
            <w:pPr>
              <w:autoSpaceDE w:val="0"/>
              <w:autoSpaceDN w:val="0"/>
              <w:spacing w:line="276" w:lineRule="auto"/>
              <w:jc w:val="center"/>
              <w:textAlignment w:val="bottom"/>
              <w:rPr>
                <w:rFonts w:hint="eastAsia" w:ascii="宋体" w:hAnsi="宋体" w:eastAsia="宋体" w:cs="宋体"/>
                <w:sz w:val="21"/>
                <w:szCs w:val="21"/>
              </w:rPr>
            </w:pPr>
            <w:r>
              <w:rPr>
                <w:rFonts w:hint="eastAsia" w:ascii="宋体" w:hAnsi="宋体" w:eastAsia="宋体" w:cs="宋体"/>
                <w:sz w:val="21"/>
                <w:szCs w:val="21"/>
              </w:rPr>
              <w:t>日常</w:t>
            </w:r>
          </w:p>
        </w:tc>
      </w:tr>
      <w:tr>
        <w:tblPrEx>
          <w:tblCellMar>
            <w:top w:w="0" w:type="dxa"/>
            <w:left w:w="28" w:type="dxa"/>
            <w:bottom w:w="0" w:type="dxa"/>
            <w:right w:w="28" w:type="dxa"/>
          </w:tblCellMar>
        </w:tblPrEx>
        <w:trPr>
          <w:trHeight w:val="647" w:hRule="atLeast"/>
        </w:trPr>
        <w:tc>
          <w:tcPr>
            <w:tcW w:w="9215" w:type="dxa"/>
            <w:gridSpan w:val="5"/>
            <w:tcBorders>
              <w:top w:val="single" w:color="000000" w:sz="12" w:space="0"/>
              <w:left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br w:type="page"/>
            </w:r>
            <w:r>
              <w:rPr>
                <w:rFonts w:hint="eastAsia" w:ascii="宋体" w:hAnsi="宋体" w:eastAsia="宋体" w:cs="宋体"/>
                <w:color w:val="000000"/>
                <w:sz w:val="21"/>
                <w:szCs w:val="21"/>
                <w:lang w:val="zh-CN"/>
              </w:rPr>
              <w:t>培训</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Cs/>
                <w:sz w:val="21"/>
                <w:szCs w:val="21"/>
              </w:rPr>
            </w:pPr>
            <w:r>
              <w:rPr>
                <w:rFonts w:hint="eastAsia" w:ascii="宋体" w:hAnsi="宋体" w:eastAsia="宋体" w:cs="宋体"/>
                <w:bCs/>
                <w:sz w:val="21"/>
                <w:szCs w:val="21"/>
              </w:rPr>
              <w:t>维护培训</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对</w:t>
            </w:r>
            <w:r>
              <w:rPr>
                <w:rFonts w:hint="eastAsia" w:ascii="宋体" w:hAnsi="宋体" w:eastAsia="宋体" w:cs="宋体"/>
                <w:sz w:val="21"/>
                <w:szCs w:val="21"/>
                <w:lang w:val="en-US" w:eastAsia="zh-CN"/>
              </w:rPr>
              <w:t>甲方</w:t>
            </w:r>
            <w:r>
              <w:rPr>
                <w:rFonts w:hint="eastAsia" w:ascii="宋体" w:hAnsi="宋体" w:eastAsia="宋体" w:cs="宋体"/>
                <w:sz w:val="21"/>
                <w:szCs w:val="21"/>
              </w:rPr>
              <w:t>系统管理员进行基本的数据维护培训；</w:t>
            </w:r>
          </w:p>
          <w:p>
            <w:pPr>
              <w:autoSpaceDE w:val="0"/>
              <w:autoSpaceDN w:val="0"/>
              <w:jc w:val="left"/>
              <w:textAlignment w:val="bottom"/>
              <w:rPr>
                <w:rFonts w:hint="eastAsia" w:ascii="宋体" w:hAnsi="宋体" w:eastAsia="宋体" w:cs="宋体"/>
                <w:b/>
                <w:bCs/>
                <w:sz w:val="21"/>
                <w:szCs w:val="21"/>
              </w:rPr>
            </w:pPr>
            <w:r>
              <w:rPr>
                <w:rFonts w:hint="eastAsia" w:ascii="宋体" w:hAnsi="宋体" w:eastAsia="宋体" w:cs="宋体"/>
                <w:sz w:val="21"/>
                <w:szCs w:val="21"/>
              </w:rPr>
              <w:t>因</w:t>
            </w:r>
            <w:r>
              <w:rPr>
                <w:rFonts w:hint="eastAsia" w:ascii="宋体" w:hAnsi="宋体" w:eastAsia="宋体" w:cs="宋体"/>
                <w:sz w:val="21"/>
                <w:szCs w:val="21"/>
                <w:lang w:val="en-US" w:eastAsia="zh-CN"/>
              </w:rPr>
              <w:t>甲方</w:t>
            </w:r>
            <w:r>
              <w:rPr>
                <w:rFonts w:hint="eastAsia" w:ascii="宋体" w:hAnsi="宋体" w:eastAsia="宋体" w:cs="宋体"/>
                <w:sz w:val="21"/>
                <w:szCs w:val="21"/>
              </w:rPr>
              <w:t>人员离职或岗位调动需要进行培训的系统维护人员。</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远程培训或现场</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b/>
                <w:bCs/>
                <w:sz w:val="21"/>
                <w:szCs w:val="21"/>
              </w:rPr>
            </w:pPr>
            <w:r>
              <w:rPr>
                <w:rFonts w:hint="eastAsia" w:ascii="宋体" w:hAnsi="宋体" w:eastAsia="宋体" w:cs="宋体"/>
                <w:sz w:val="21"/>
                <w:szCs w:val="21"/>
              </w:rPr>
              <w:t>法定工作日预约</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bCs/>
                <w:sz w:val="21"/>
                <w:szCs w:val="21"/>
              </w:rPr>
            </w:pPr>
            <w:r>
              <w:rPr>
                <w:rFonts w:hint="eastAsia" w:ascii="宋体" w:hAnsi="宋体" w:eastAsia="宋体" w:cs="宋体"/>
                <w:sz w:val="21"/>
                <w:szCs w:val="21"/>
              </w:rPr>
              <w:t>热线服务</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提供与软件系统相关的咨询服务</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法定工作日</w:t>
            </w:r>
          </w:p>
        </w:tc>
      </w:tr>
      <w:tr>
        <w:tblPrEx>
          <w:tblCellMar>
            <w:top w:w="0" w:type="dxa"/>
            <w:left w:w="28" w:type="dxa"/>
            <w:bottom w:w="0" w:type="dxa"/>
            <w:right w:w="28" w:type="dxa"/>
          </w:tblCellMar>
        </w:tblPrEx>
        <w:trPr>
          <w:trHeight w:val="647" w:hRule="atLeast"/>
        </w:trPr>
        <w:tc>
          <w:tcPr>
            <w:tcW w:w="568" w:type="dxa"/>
            <w:tcBorders>
              <w:top w:val="single" w:color="000000" w:sz="12" w:space="0"/>
              <w:left w:val="single" w:color="000000" w:sz="12"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92" w:type="dxa"/>
            <w:tcBorders>
              <w:top w:val="single" w:color="000000" w:sz="12" w:space="0"/>
              <w:left w:val="single" w:color="auto" w:sz="4" w:space="0"/>
              <w:bottom w:val="single" w:color="000000" w:sz="12" w:space="0"/>
              <w:right w:val="single" w:color="auto" w:sz="4"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问题解答</w:t>
            </w:r>
          </w:p>
        </w:tc>
        <w:tc>
          <w:tcPr>
            <w:tcW w:w="4536"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color w:val="000000"/>
                <w:sz w:val="21"/>
                <w:szCs w:val="21"/>
                <w:lang w:val="zh-CN"/>
              </w:rPr>
              <w:t>解答管理部门针对系统及数据库疑难问题。</w:t>
            </w:r>
          </w:p>
        </w:tc>
        <w:tc>
          <w:tcPr>
            <w:tcW w:w="1985"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left"/>
              <w:textAlignment w:val="bottom"/>
              <w:rPr>
                <w:rFonts w:hint="eastAsia" w:ascii="宋体" w:hAnsi="宋体" w:eastAsia="宋体" w:cs="宋体"/>
                <w:sz w:val="21"/>
                <w:szCs w:val="21"/>
              </w:rPr>
            </w:pPr>
            <w:r>
              <w:rPr>
                <w:rFonts w:hint="eastAsia" w:ascii="宋体" w:hAnsi="宋体" w:eastAsia="宋体" w:cs="宋体"/>
                <w:sz w:val="21"/>
                <w:szCs w:val="21"/>
              </w:rPr>
              <w:t>微信、电话、邮箱、网络远程、QQ</w:t>
            </w:r>
          </w:p>
        </w:tc>
        <w:tc>
          <w:tcPr>
            <w:tcW w:w="1134" w:type="dxa"/>
            <w:tcBorders>
              <w:top w:val="single" w:color="000000" w:sz="12" w:space="0"/>
              <w:left w:val="single" w:color="000000" w:sz="6" w:space="0"/>
              <w:bottom w:val="single" w:color="000000" w:sz="12" w:space="0"/>
              <w:right w:val="single" w:color="000000" w:sz="6" w:space="0"/>
            </w:tcBorders>
            <w:noWrap w:val="0"/>
            <w:vAlign w:val="center"/>
          </w:tcPr>
          <w:p>
            <w:pPr>
              <w:autoSpaceDE w:val="0"/>
              <w:autoSpaceDN w:val="0"/>
              <w:jc w:val="center"/>
              <w:textAlignment w:val="bottom"/>
              <w:rPr>
                <w:rFonts w:hint="eastAsia" w:ascii="宋体" w:hAnsi="宋体" w:eastAsia="宋体" w:cs="宋体"/>
                <w:sz w:val="21"/>
                <w:szCs w:val="21"/>
              </w:rPr>
            </w:pPr>
            <w:r>
              <w:rPr>
                <w:rFonts w:hint="eastAsia" w:ascii="宋体" w:hAnsi="宋体" w:eastAsia="宋体" w:cs="宋体"/>
                <w:sz w:val="21"/>
                <w:szCs w:val="21"/>
              </w:rPr>
              <w:t>法定工作日</w:t>
            </w:r>
          </w:p>
        </w:tc>
      </w:tr>
    </w:tbl>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sz w:val="28"/>
          <w:szCs w:val="28"/>
        </w:rPr>
      </w:pPr>
      <w:r>
        <w:rPr>
          <w:b/>
          <w:sz w:val="28"/>
          <w:szCs w:val="28"/>
        </w:rPr>
        <w:t>廉洁购销合同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Cs/>
          <w:sz w:val="20"/>
          <w:szCs w:val="20"/>
          <w:lang w:eastAsia="zh-CN"/>
        </w:rPr>
      </w:pPr>
      <w:r>
        <w:rPr>
          <w:sz w:val="20"/>
          <w:szCs w:val="20"/>
        </w:rPr>
        <w:t>甲方</w:t>
      </w:r>
      <w:r>
        <w:rPr>
          <w:bCs/>
          <w:sz w:val="20"/>
          <w:szCs w:val="20"/>
        </w:rPr>
        <w:t>：</w:t>
      </w:r>
      <w:r>
        <w:rPr>
          <w:rFonts w:hint="eastAsia"/>
          <w:bCs/>
          <w:sz w:val="20"/>
          <w:szCs w:val="20"/>
          <w:lang w:eastAsia="zh-CN"/>
        </w:rPr>
        <w:t>温州市中医院</w:t>
      </w:r>
    </w:p>
    <w:p>
      <w:pPr>
        <w:spacing w:line="360" w:lineRule="auto"/>
        <w:rPr>
          <w:rFonts w:hint="eastAsia" w:ascii="宋体" w:hAnsi="宋体" w:eastAsia="宋体" w:cs="宋体"/>
          <w:b w:val="0"/>
          <w:bCs/>
          <w:sz w:val="20"/>
          <w:szCs w:val="20"/>
          <w:u w:val="none"/>
          <w:lang w:val="en-US" w:eastAsia="zh-CN"/>
        </w:rPr>
      </w:pPr>
      <w:r>
        <w:rPr>
          <w:sz w:val="20"/>
          <w:szCs w:val="20"/>
        </w:rPr>
        <w:t>乙方</w:t>
      </w:r>
      <w:r>
        <w:rPr>
          <w:b w:val="0"/>
          <w:bCs/>
          <w:sz w:val="20"/>
          <w:szCs w:val="20"/>
        </w:rPr>
        <w:t>：</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bCs/>
          <w:sz w:val="20"/>
          <w:szCs w:val="20"/>
        </w:rPr>
        <w:t>为进一步加强医疗卫生行风建设，规范医疗卫生机构</w:t>
      </w:r>
      <w:r>
        <w:rPr>
          <w:rFonts w:hint="eastAsia"/>
          <w:bCs/>
          <w:sz w:val="20"/>
          <w:szCs w:val="20"/>
          <w:lang w:eastAsia="zh-CN"/>
        </w:rPr>
        <w:t>各类</w:t>
      </w:r>
      <w:r>
        <w:rPr>
          <w:bCs/>
          <w:sz w:val="20"/>
          <w:szCs w:val="20"/>
        </w:rPr>
        <w:t>购销行为，有效防范商业贿赂行为，营造公平交易、诚实守信的</w:t>
      </w:r>
      <w:r>
        <w:rPr>
          <w:rFonts w:hint="eastAsia"/>
          <w:bCs/>
          <w:sz w:val="20"/>
          <w:szCs w:val="20"/>
          <w:lang w:eastAsia="zh-CN"/>
        </w:rPr>
        <w:t>“清廉医院”</w:t>
      </w:r>
      <w:r>
        <w:rPr>
          <w:bCs/>
          <w:sz w:val="20"/>
          <w:szCs w:val="20"/>
        </w:rPr>
        <w:t>购销环境，经甲、乙双方协商，同意签订本合同，并共同遵守：</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bCs/>
          <w:sz w:val="20"/>
          <w:szCs w:val="20"/>
        </w:rPr>
        <w:t>一、甲乙双方按照《</w:t>
      </w:r>
      <w:r>
        <w:rPr>
          <w:rFonts w:hint="eastAsia"/>
          <w:bCs/>
          <w:sz w:val="20"/>
          <w:szCs w:val="20"/>
          <w:lang w:eastAsia="zh-CN"/>
        </w:rPr>
        <w:t>民法典</w:t>
      </w:r>
      <w:r>
        <w:rPr>
          <w:bCs/>
          <w:sz w:val="20"/>
          <w:szCs w:val="20"/>
        </w:rPr>
        <w:t>》</w:t>
      </w:r>
      <w:r>
        <w:rPr>
          <w:rFonts w:hint="eastAsia"/>
          <w:bCs/>
          <w:sz w:val="20"/>
          <w:szCs w:val="20"/>
          <w:lang w:eastAsia="zh-CN"/>
        </w:rPr>
        <w:t>等相关法规要求，约定</w:t>
      </w:r>
      <w:r>
        <w:rPr>
          <w:bCs/>
          <w:sz w:val="20"/>
          <w:szCs w:val="20"/>
        </w:rPr>
        <w:t>购销</w:t>
      </w:r>
      <w:r>
        <w:rPr>
          <w:rFonts w:hint="eastAsia"/>
          <w:bCs/>
          <w:sz w:val="20"/>
          <w:szCs w:val="20"/>
          <w:lang w:eastAsia="zh-CN"/>
        </w:rPr>
        <w:t>包括但不限于</w:t>
      </w:r>
      <w:r>
        <w:rPr>
          <w:bCs/>
          <w:sz w:val="20"/>
          <w:szCs w:val="20"/>
        </w:rPr>
        <w:t>药品、设备、耗材</w:t>
      </w:r>
      <w:r>
        <w:rPr>
          <w:rFonts w:hint="eastAsia"/>
          <w:bCs/>
          <w:sz w:val="20"/>
          <w:szCs w:val="20"/>
          <w:lang w:eastAsia="zh-CN"/>
        </w:rPr>
        <w:t>、维保</w:t>
      </w:r>
      <w:r>
        <w:rPr>
          <w:bCs/>
          <w:sz w:val="20"/>
          <w:szCs w:val="20"/>
        </w:rPr>
        <w:t>等</w:t>
      </w:r>
      <w:r>
        <w:rPr>
          <w:rFonts w:hint="eastAsia"/>
          <w:bCs/>
          <w:sz w:val="20"/>
          <w:szCs w:val="20"/>
          <w:lang w:eastAsia="zh-CN"/>
        </w:rPr>
        <w:t>货物或服务</w:t>
      </w:r>
      <w:r>
        <w:rPr>
          <w:bCs/>
          <w:sz w:val="20"/>
          <w:szCs w:val="20"/>
        </w:rPr>
        <w:t>。</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bCs/>
          <w:sz w:val="20"/>
          <w:szCs w:val="20"/>
        </w:rPr>
        <w:t>二、甲方应当严格执行合同验收、入库制度，对采购产品及发票进行查验，不得违反有关规定合同外采购、违价采购或从非规定渠道采购。</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bCs/>
          <w:sz w:val="20"/>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bCs/>
          <w:sz w:val="20"/>
          <w:szCs w:val="20"/>
        </w:rPr>
        <w:t>四、严禁甲方工作人员利用任何途径和方式，为乙方统计医师个人及临床科室有关医药产品用量信息，或为乙方统计提供便利。</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eastAsia="宋体"/>
          <w:bCs/>
          <w:color w:val="auto"/>
          <w:sz w:val="20"/>
          <w:szCs w:val="20"/>
          <w:lang w:eastAsia="zh-CN"/>
        </w:rPr>
      </w:pPr>
      <w:r>
        <w:rPr>
          <w:bCs/>
          <w:sz w:val="20"/>
          <w:szCs w:val="20"/>
        </w:rPr>
        <w:t>五、乙方不得以回扣、宴请等方式影响甲方工作人员采购</w:t>
      </w:r>
      <w:r>
        <w:rPr>
          <w:rFonts w:hint="eastAsia"/>
          <w:bCs/>
          <w:sz w:val="20"/>
          <w:szCs w:val="20"/>
          <w:lang w:eastAsia="zh-CN"/>
        </w:rPr>
        <w:t>或使用</w:t>
      </w:r>
      <w:r>
        <w:rPr>
          <w:bCs/>
          <w:sz w:val="20"/>
          <w:szCs w:val="20"/>
        </w:rPr>
        <w:t>产品的选择权，不得在学术活动中提供旅游、超标准支付食宿费用</w:t>
      </w:r>
      <w:r>
        <w:rPr>
          <w:rFonts w:hint="eastAsia"/>
          <w:bCs/>
          <w:sz w:val="20"/>
          <w:szCs w:val="20"/>
          <w:lang w:eastAsia="zh-CN"/>
        </w:rPr>
        <w:t>，</w:t>
      </w:r>
      <w:r>
        <w:rPr>
          <w:rFonts w:hint="eastAsia"/>
          <w:bCs/>
          <w:color w:val="auto"/>
          <w:sz w:val="20"/>
          <w:szCs w:val="20"/>
        </w:rPr>
        <w:t xml:space="preserve">不得以任何形式向甲方工作人员赠送礼品、礼金或其他利益诱惑，违者将视同乙方违约。 </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eastAsia="宋体"/>
          <w:bCs/>
          <w:sz w:val="20"/>
          <w:szCs w:val="20"/>
          <w:lang w:eastAsia="zh-CN"/>
        </w:rPr>
      </w:pPr>
      <w:r>
        <w:rPr>
          <w:bCs/>
          <w:color w:val="auto"/>
          <w:sz w:val="20"/>
          <w:szCs w:val="20"/>
        </w:rPr>
        <w:t>六、乙方指定</w:t>
      </w:r>
      <w:r>
        <w:rPr>
          <w:rFonts w:hint="eastAsia"/>
          <w:bCs/>
          <w:color w:val="auto"/>
          <w:sz w:val="20"/>
          <w:szCs w:val="20"/>
          <w:lang w:val="en-US" w:eastAsia="zh-CN"/>
        </w:rPr>
        <w:t xml:space="preserve">    </w:t>
      </w:r>
      <w:r>
        <w:rPr>
          <w:rFonts w:hint="eastAsia"/>
          <w:bCs/>
          <w:color w:val="auto"/>
          <w:sz w:val="20"/>
          <w:szCs w:val="20"/>
          <w:u w:val="single"/>
          <w:lang w:val="en-US" w:eastAsia="zh-CN"/>
        </w:rPr>
        <w:t xml:space="preserve">  </w:t>
      </w:r>
      <w:r>
        <w:rPr>
          <w:bCs/>
          <w:color w:val="auto"/>
          <w:sz w:val="20"/>
          <w:szCs w:val="20"/>
        </w:rPr>
        <w:t>作为销售代表洽谈业务。</w:t>
      </w:r>
      <w:r>
        <w:rPr>
          <w:rFonts w:hint="eastAsia"/>
          <w:bCs/>
          <w:color w:val="auto"/>
          <w:sz w:val="20"/>
          <w:szCs w:val="20"/>
          <w:lang w:val="en-US" w:eastAsia="zh-CN"/>
        </w:rPr>
        <w:t>其</w:t>
      </w:r>
      <w:r>
        <w:rPr>
          <w:rFonts w:hint="eastAsia"/>
          <w:bCs/>
          <w:color w:val="auto"/>
          <w:sz w:val="20"/>
          <w:szCs w:val="20"/>
        </w:rPr>
        <w:t>必须持有合法身份证明及授权文件，并在甲方备案。</w:t>
      </w:r>
      <w:r>
        <w:rPr>
          <w:bCs/>
          <w:color w:val="auto"/>
          <w:sz w:val="20"/>
          <w:szCs w:val="20"/>
        </w:rPr>
        <w:t>销售代表必须在工作时间到甲方指定地点联系商谈，不得到住院部、门诊部、医技科室等推</w:t>
      </w:r>
      <w:r>
        <w:rPr>
          <w:bCs/>
          <w:sz w:val="20"/>
          <w:szCs w:val="20"/>
        </w:rPr>
        <w:t>销产品，不得借故到甲方相关领导、部门负责人及相关工作人员家中访谈并提供任何好处费</w:t>
      </w:r>
      <w:r>
        <w:rPr>
          <w:rFonts w:hint="eastAsia"/>
          <w:bCs/>
          <w:sz w:val="20"/>
          <w:szCs w:val="20"/>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color w:val="auto"/>
          <w:sz w:val="20"/>
          <w:szCs w:val="20"/>
        </w:rPr>
      </w:pPr>
      <w:r>
        <w:rPr>
          <w:rFonts w:hint="eastAsia"/>
          <w:bCs/>
          <w:sz w:val="20"/>
          <w:szCs w:val="20"/>
          <w:lang w:val="en-US" w:eastAsia="zh-CN"/>
        </w:rPr>
        <w:t>七、乙方指定的</w:t>
      </w:r>
      <w:r>
        <w:rPr>
          <w:rFonts w:hint="eastAsia"/>
          <w:bCs/>
          <w:sz w:val="20"/>
          <w:szCs w:val="20"/>
        </w:rPr>
        <w:t>销售代表</w:t>
      </w:r>
      <w:r>
        <w:rPr>
          <w:bCs/>
          <w:color w:val="auto"/>
          <w:sz w:val="20"/>
          <w:szCs w:val="20"/>
        </w:rPr>
        <w:t>如违反本合同，一经发现，甲方有权终止购销合同，并向有关卫生计生行政部门报告。如乙方被列入商业贿赂不良记录，则严格按照《国家卫生计生委关于建立医药购销领域商业贿赂不良记录的规定》</w:t>
      </w:r>
      <w:r>
        <w:rPr>
          <w:bCs/>
          <w:color w:val="auto"/>
          <w:sz w:val="20"/>
          <w:szCs w:val="20"/>
          <w:shd w:val="clear" w:color="auto" w:fill="FFFFFF"/>
        </w:rPr>
        <w:t>（国卫法制发〔2013〕50号）</w:t>
      </w:r>
      <w:r>
        <w:rPr>
          <w:rFonts w:hint="eastAsia"/>
          <w:bCs/>
          <w:color w:val="auto"/>
          <w:sz w:val="20"/>
          <w:szCs w:val="20"/>
          <w:shd w:val="clear" w:color="auto" w:fill="FFFFFF"/>
          <w:lang w:eastAsia="zh-CN"/>
        </w:rPr>
        <w:t>及《关于印发医疗机构工作人员廉洁从业九项准则的通知》（国卫医发〔2021〕37号）</w:t>
      </w:r>
      <w:r>
        <w:rPr>
          <w:bCs/>
          <w:color w:val="auto"/>
          <w:sz w:val="20"/>
          <w:szCs w:val="20"/>
        </w:rPr>
        <w:t>相关规定处理。</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rFonts w:hint="eastAsia"/>
          <w:bCs/>
          <w:sz w:val="20"/>
          <w:szCs w:val="20"/>
          <w:lang w:val="en-US" w:eastAsia="zh-CN"/>
        </w:rPr>
        <w:t>八</w:t>
      </w:r>
      <w:r>
        <w:rPr>
          <w:bCs/>
          <w:sz w:val="20"/>
          <w:szCs w:val="20"/>
        </w:rPr>
        <w:t>、本合同作为购销合同的重要组成部分，与购销合同一并执行，具有同等的法律效力。</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bCs/>
          <w:sz w:val="20"/>
          <w:szCs w:val="20"/>
        </w:rPr>
      </w:pPr>
      <w:r>
        <w:rPr>
          <w:rFonts w:hint="eastAsia"/>
          <w:bCs/>
          <w:sz w:val="20"/>
          <w:szCs w:val="20"/>
          <w:lang w:val="en-US" w:eastAsia="zh-CN"/>
        </w:rPr>
        <w:t>九</w:t>
      </w:r>
      <w:r>
        <w:rPr>
          <w:bCs/>
          <w:sz w:val="20"/>
          <w:szCs w:val="20"/>
        </w:rPr>
        <w:t>、本合同一式</w:t>
      </w:r>
      <w:r>
        <w:rPr>
          <w:rFonts w:hint="eastAsia"/>
          <w:bCs/>
          <w:sz w:val="20"/>
          <w:szCs w:val="20"/>
          <w:lang w:val="en-US" w:eastAsia="zh-CN"/>
        </w:rPr>
        <w:t>二</w:t>
      </w:r>
      <w:r>
        <w:rPr>
          <w:bCs/>
          <w:sz w:val="20"/>
          <w:szCs w:val="20"/>
        </w:rPr>
        <w:t>份，甲、乙双方各执一份，并从签订之日起生效。</w:t>
      </w:r>
    </w:p>
    <w:p>
      <w:pPr>
        <w:keepNext w:val="0"/>
        <w:keepLines w:val="0"/>
        <w:pageBreakBefore w:val="0"/>
        <w:widowControl w:val="0"/>
        <w:kinsoku/>
        <w:wordWrap/>
        <w:overflowPunct/>
        <w:topLinePunct w:val="0"/>
        <w:autoSpaceDE/>
        <w:autoSpaceDN/>
        <w:bidi w:val="0"/>
        <w:adjustRightInd/>
        <w:snapToGrid/>
        <w:spacing w:line="240" w:lineRule="auto"/>
        <w:textAlignment w:val="auto"/>
        <w:rPr>
          <w:bCs/>
          <w:sz w:val="20"/>
          <w:szCs w:val="20"/>
        </w:rPr>
      </w:pPr>
      <w:r>
        <w:rPr>
          <w:bCs/>
          <w:sz w:val="20"/>
          <w:szCs w:val="20"/>
        </w:rPr>
        <w:t xml:space="preserve">甲方（盖章）：                     </w:t>
      </w:r>
      <w:r>
        <w:rPr>
          <w:rFonts w:hint="eastAsia"/>
          <w:bCs/>
          <w:sz w:val="20"/>
          <w:szCs w:val="20"/>
          <w:lang w:val="en-US" w:eastAsia="zh-CN"/>
        </w:rPr>
        <w:t xml:space="preserve">       </w:t>
      </w:r>
      <w:r>
        <w:rPr>
          <w:bCs/>
          <w:sz w:val="20"/>
          <w:szCs w:val="20"/>
        </w:rPr>
        <w:t>乙方（盖章）：</w:t>
      </w:r>
    </w:p>
    <w:p>
      <w:pPr>
        <w:keepNext w:val="0"/>
        <w:keepLines w:val="0"/>
        <w:pageBreakBefore w:val="0"/>
        <w:widowControl w:val="0"/>
        <w:kinsoku/>
        <w:wordWrap/>
        <w:overflowPunct/>
        <w:topLinePunct w:val="0"/>
        <w:autoSpaceDE/>
        <w:autoSpaceDN/>
        <w:bidi w:val="0"/>
        <w:adjustRightInd/>
        <w:snapToGrid/>
        <w:spacing w:line="240" w:lineRule="auto"/>
        <w:textAlignment w:val="auto"/>
        <w:rPr>
          <w:bCs/>
          <w:sz w:val="20"/>
          <w:szCs w:val="20"/>
        </w:rPr>
      </w:pPr>
      <w:r>
        <w:rPr>
          <w:bCs/>
          <w:sz w:val="20"/>
          <w:szCs w:val="20"/>
        </w:rPr>
        <w:t>法定代表人（</w:t>
      </w:r>
      <w:r>
        <w:rPr>
          <w:rFonts w:hint="eastAsia"/>
          <w:bCs/>
          <w:sz w:val="20"/>
          <w:szCs w:val="20"/>
          <w:lang w:val="en-US" w:eastAsia="zh-CN"/>
        </w:rPr>
        <w:t>或授权代表</w:t>
      </w:r>
      <w:r>
        <w:rPr>
          <w:bCs/>
          <w:sz w:val="20"/>
          <w:szCs w:val="20"/>
        </w:rPr>
        <w:t xml:space="preserve">）：             </w:t>
      </w:r>
      <w:r>
        <w:rPr>
          <w:rFonts w:hint="eastAsia"/>
          <w:bCs/>
          <w:sz w:val="20"/>
          <w:szCs w:val="20"/>
          <w:lang w:val="en-US" w:eastAsia="zh-CN"/>
        </w:rPr>
        <w:t xml:space="preserve">   </w:t>
      </w:r>
      <w:r>
        <w:rPr>
          <w:bCs/>
          <w:sz w:val="20"/>
          <w:szCs w:val="20"/>
        </w:rPr>
        <w:t>法定代表人（</w:t>
      </w:r>
      <w:r>
        <w:rPr>
          <w:rFonts w:hint="eastAsia"/>
          <w:bCs/>
          <w:sz w:val="20"/>
          <w:szCs w:val="20"/>
          <w:lang w:val="en-US" w:eastAsia="zh-CN"/>
        </w:rPr>
        <w:t>或授权代表</w:t>
      </w:r>
      <w:r>
        <w:rPr>
          <w:bCs/>
          <w:sz w:val="20"/>
          <w:szCs w:val="20"/>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bCs/>
          <w:sz w:val="20"/>
          <w:szCs w:val="20"/>
        </w:rPr>
      </w:pPr>
      <w:r>
        <w:rPr>
          <w:bCs/>
          <w:sz w:val="20"/>
          <w:szCs w:val="20"/>
        </w:rPr>
        <w:t xml:space="preserve">经办人签名：                     </w:t>
      </w:r>
      <w:r>
        <w:rPr>
          <w:rFonts w:hint="eastAsia"/>
          <w:bCs/>
          <w:sz w:val="20"/>
          <w:szCs w:val="20"/>
          <w:lang w:val="en-US" w:eastAsia="zh-CN"/>
        </w:rPr>
        <w:t xml:space="preserve">       </w:t>
      </w:r>
      <w:r>
        <w:rPr>
          <w:bCs/>
          <w:sz w:val="20"/>
          <w:szCs w:val="20"/>
        </w:rPr>
        <w:t xml:space="preserve"> 经办人签名：</w:t>
      </w:r>
    </w:p>
    <w:p>
      <w:pPr>
        <w:keepNext w:val="0"/>
        <w:keepLines w:val="0"/>
        <w:pageBreakBefore w:val="0"/>
        <w:widowControl w:val="0"/>
        <w:kinsoku/>
        <w:wordWrap/>
        <w:overflowPunct/>
        <w:topLinePunct w:val="0"/>
        <w:autoSpaceDE/>
        <w:autoSpaceDN/>
        <w:bidi w:val="0"/>
        <w:adjustRightInd/>
        <w:snapToGrid/>
        <w:spacing w:line="240" w:lineRule="auto"/>
        <w:ind w:firstLine="800" w:firstLineChars="400"/>
        <w:textAlignment w:val="auto"/>
        <w:rPr>
          <w:sz w:val="20"/>
          <w:szCs w:val="20"/>
        </w:rPr>
      </w:pP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 xml:space="preserve">日                      </w:t>
      </w:r>
      <w:r>
        <w:rPr>
          <w:rFonts w:hint="eastAsia"/>
          <w:bCs/>
          <w:sz w:val="20"/>
          <w:szCs w:val="20"/>
          <w:lang w:val="en-US" w:eastAsia="zh-CN"/>
        </w:rPr>
        <w:t xml:space="preserve">     </w:t>
      </w: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日</w:t>
      </w:r>
    </w:p>
    <w:p>
      <w:pPr>
        <w:pStyle w:val="3"/>
        <w:rPr>
          <w:rFonts w:hint="default"/>
          <w:lang w:val="en-US" w:eastAsia="zh-CN"/>
        </w:rPr>
      </w:pPr>
    </w:p>
    <w:p>
      <w:pPr>
        <w:numPr>
          <w:ilvl w:val="0"/>
          <w:numId w:val="0"/>
        </w:numPr>
        <w:spacing w:line="360" w:lineRule="auto"/>
        <w:ind w:firstLine="480" w:firstLineChars="200"/>
        <w:rPr>
          <w:rFonts w:hint="eastAsia"/>
          <w:sz w:val="24"/>
        </w:rPr>
      </w:pPr>
    </w:p>
    <w:p>
      <w:pPr>
        <w:pStyle w:val="10"/>
        <w:ind w:left="0" w:leftChars="0" w:firstLine="0" w:firstLineChars="0"/>
        <w:rPr>
          <w:sz w:val="24"/>
        </w:rPr>
      </w:pPr>
    </w:p>
    <w:p>
      <w:pPr>
        <w:pStyle w:val="10"/>
        <w:ind w:left="0" w:leftChars="0" w:firstLine="0" w:firstLineChars="0"/>
        <w:rPr>
          <w:sz w:val="24"/>
        </w:rPr>
      </w:pPr>
    </w:p>
    <w:p>
      <w:pPr>
        <w:jc w:val="left"/>
        <w:rPr>
          <w:rFonts w:hint="eastAsia"/>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rFonts w:hint="eastAsia" w:ascii="楷体" w:hAnsi="楷体" w:eastAsia="楷体" w:cs="楷体"/>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CB0E6F"/>
    <w:multiLevelType w:val="multilevel"/>
    <w:tmpl w:val="43CB0E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zN2FlZGQyNmExMDc1YTc1OWIxYmFlNmE1NTFhMTUifQ=="/>
  </w:docVars>
  <w:rsids>
    <w:rsidRoot w:val="4519352F"/>
    <w:rsid w:val="13BC5DB9"/>
    <w:rsid w:val="163C632F"/>
    <w:rsid w:val="18506ACF"/>
    <w:rsid w:val="21733813"/>
    <w:rsid w:val="28AA60CA"/>
    <w:rsid w:val="314C32F7"/>
    <w:rsid w:val="35CB73D6"/>
    <w:rsid w:val="36D911C2"/>
    <w:rsid w:val="4519352F"/>
    <w:rsid w:val="4FF4571A"/>
    <w:rsid w:val="52A976F5"/>
    <w:rsid w:val="5AA143E2"/>
    <w:rsid w:val="635C2783"/>
    <w:rsid w:val="760C0BFF"/>
    <w:rsid w:val="7D195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tabs>
        <w:tab w:val="left" w:pos="840"/>
      </w:tabs>
      <w:adjustRightInd w:val="0"/>
      <w:snapToGrid w:val="0"/>
      <w:spacing w:line="360" w:lineRule="auto"/>
      <w:outlineLvl w:val="0"/>
    </w:pPr>
    <w:rPr>
      <w:rFonts w:ascii="宋体"/>
      <w:b/>
      <w:kern w:val="44"/>
      <w:sz w:val="24"/>
    </w:rPr>
  </w:style>
  <w:style w:type="paragraph" w:styleId="3">
    <w:name w:val="heading 4"/>
    <w:basedOn w:val="1"/>
    <w:next w:val="1"/>
    <w:autoRedefine/>
    <w:qFormat/>
    <w:uiPriority w:val="0"/>
    <w:pPr>
      <w:keepNext/>
      <w:keepLines/>
      <w:spacing w:line="540" w:lineRule="atLeast"/>
      <w:outlineLvl w:val="3"/>
    </w:pPr>
    <w:rPr>
      <w:sz w:val="28"/>
      <w:szCs w:val="28"/>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1"/>
    <w:autoRedefine/>
    <w:qFormat/>
    <w:uiPriority w:val="0"/>
    <w:pPr>
      <w:ind w:firstLine="420" w:firstLineChars="200"/>
    </w:pPr>
  </w:style>
  <w:style w:type="paragraph" w:styleId="5">
    <w:name w:val="Body Text"/>
    <w:basedOn w:val="1"/>
    <w:autoRedefine/>
    <w:qFormat/>
    <w:uiPriority w:val="0"/>
    <w:pPr>
      <w:spacing w:line="360" w:lineRule="atLeast"/>
      <w:jc w:val="left"/>
    </w:pPr>
    <w:rPr>
      <w:rFonts w:ascii="楷体" w:eastAsia="楷体"/>
      <w:snapToGrid w:val="0"/>
      <w:color w:val="000000"/>
      <w:kern w:val="0"/>
      <w:sz w:val="22"/>
      <w:lang w:eastAsia="en-US"/>
    </w:rPr>
  </w:style>
  <w:style w:type="paragraph" w:styleId="6">
    <w:name w:val="Body Text Indent"/>
    <w:basedOn w:val="1"/>
    <w:autoRedefine/>
    <w:unhideWhenUsed/>
    <w:qFormat/>
    <w:uiPriority w:val="99"/>
    <w:pPr>
      <w:spacing w:after="120"/>
      <w:ind w:left="420" w:leftChars="200"/>
    </w:pPr>
  </w:style>
  <w:style w:type="paragraph" w:styleId="7">
    <w:name w:val="footer"/>
    <w:basedOn w:val="1"/>
    <w:autoRedefine/>
    <w:unhideWhenUsed/>
    <w:qFormat/>
    <w:uiPriority w:val="99"/>
    <w:pPr>
      <w:tabs>
        <w:tab w:val="center" w:pos="4153"/>
        <w:tab w:val="right" w:pos="8306"/>
      </w:tabs>
      <w:snapToGrid w:val="0"/>
      <w:jc w:val="left"/>
    </w:pPr>
    <w:rPr>
      <w:sz w:val="18"/>
      <w:szCs w:val="18"/>
    </w:rPr>
  </w:style>
  <w:style w:type="paragraph" w:styleId="8">
    <w:name w:val="Normal (Web)"/>
    <w:basedOn w:val="1"/>
    <w:autoRedefine/>
    <w:unhideWhenUsed/>
    <w:qFormat/>
    <w:uiPriority w:val="99"/>
    <w:rPr>
      <w:sz w:val="24"/>
    </w:rPr>
  </w:style>
  <w:style w:type="paragraph" w:styleId="9">
    <w:name w:val="Body Text First Indent"/>
    <w:basedOn w:val="5"/>
    <w:autoRedefine/>
    <w:qFormat/>
    <w:uiPriority w:val="0"/>
    <w:pPr>
      <w:autoSpaceDE w:val="0"/>
      <w:autoSpaceDN w:val="0"/>
      <w:adjustRightInd w:val="0"/>
      <w:spacing w:after="120" w:afterLines="0" w:afterAutospacing="0" w:line="360" w:lineRule="auto"/>
      <w:ind w:firstLine="540"/>
    </w:pPr>
    <w:rPr>
      <w:rFonts w:ascii="Times New Roman" w:eastAsia="宋体"/>
      <w:snapToGrid/>
      <w:color w:val="auto"/>
      <w:kern w:val="2"/>
      <w:sz w:val="24"/>
      <w:lang w:eastAsia="zh-CN"/>
    </w:rPr>
  </w:style>
  <w:style w:type="paragraph" w:styleId="10">
    <w:name w:val="Body Text First Indent 2"/>
    <w:basedOn w:val="6"/>
    <w:autoRedefine/>
    <w:unhideWhenUsed/>
    <w:qFormat/>
    <w:uiPriority w:val="99"/>
    <w:pPr>
      <w:ind w:firstLine="420" w:firstLineChars="200"/>
    </w:pPr>
  </w:style>
  <w:style w:type="character" w:styleId="13">
    <w:name w:val="Strong"/>
    <w:basedOn w:val="12"/>
    <w:autoRedefine/>
    <w:qFormat/>
    <w:uiPriority w:val="0"/>
    <w:rPr>
      <w:b/>
    </w:rPr>
  </w:style>
  <w:style w:type="paragraph" w:styleId="1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2057</Words>
  <Characters>2183</Characters>
  <Lines>0</Lines>
  <Paragraphs>0</Paragraphs>
  <TotalTime>6</TotalTime>
  <ScaleCrop>false</ScaleCrop>
  <LinksUpToDate>false</LinksUpToDate>
  <CharactersWithSpaces>2223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2024-10-18T03:16:00Z</dcterms:created>
  <dc:creator>海盗</dc:creator>
  <cp:lastModifiedBy>市渔业应急处置指挥中心</cp:lastModifiedBy>
  <dcterms:modified xsi:type="dcterms:W3CDTF">2026-10-27T06:41:15Z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B8802BA76BF34AEB8BAF5D816C8D1E95_13</vt:lpwstr>
  </property>
  <property fmtid="{D5CDD505-2E9C-101B-9397-08002B2CF9AE}" pid="4" name="KSOTemplateDocerSaveRecord">
    <vt:lpwstr>eyJoZGlkIjoiMGEwYzY1OGUwOTI2ZThlNzFlMjJkN2NjNTQ2OGJiOTYiLCJ1c2VySWQiOiIzNjMzNTU3NjMifQ==</vt:lpwstr>
  </property>
</Properties>
</file>