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00" w:lineRule="atLeast"/>
        <w:jc w:val="center"/>
        <w:rPr>
          <w:rFonts w:hint="eastAsia" w:ascii="宋体" w:hAnsi="宋体" w:eastAsia="宋体" w:cs="宋体"/>
          <w:b/>
          <w:bCs/>
          <w:color w:val="000000"/>
          <w:sz w:val="44"/>
          <w:szCs w:val="44"/>
          <w:lang w:val="en-US" w:eastAsia="zh-CN"/>
        </w:rPr>
      </w:pPr>
      <w:r>
        <w:rPr>
          <w:rFonts w:hint="eastAsia" w:ascii="宋体" w:hAnsi="宋体" w:cs="宋体"/>
          <w:b/>
          <w:bCs/>
          <w:color w:val="000000"/>
          <w:sz w:val="44"/>
          <w:szCs w:val="44"/>
          <w:lang w:val="en-US" w:eastAsia="zh-CN"/>
        </w:rPr>
        <w:t>温州市中医院遴选</w:t>
      </w:r>
      <w:r>
        <w:rPr>
          <w:rFonts w:hint="eastAsia" w:ascii="宋体" w:hAnsi="宋体" w:eastAsia="宋体" w:cs="宋体"/>
          <w:b/>
          <w:bCs/>
          <w:color w:val="000000"/>
          <w:sz w:val="44"/>
          <w:szCs w:val="44"/>
          <w:lang w:val="en-US" w:eastAsia="zh-CN"/>
        </w:rPr>
        <w:t>文件</w:t>
      </w:r>
    </w:p>
    <w:p>
      <w:pPr>
        <w:numPr>
          <w:ilvl w:val="0"/>
          <w:numId w:val="0"/>
        </w:numPr>
        <w:spacing w:line="300" w:lineRule="atLeast"/>
        <w:ind w:firstLine="562" w:firstLineChars="200"/>
        <w:rPr>
          <w:rFonts w:hint="eastAsia"/>
          <w:b/>
          <w:bCs/>
          <w:sz w:val="28"/>
          <w:szCs w:val="28"/>
          <w:lang w:val="en-US" w:eastAsia="zh-CN"/>
        </w:rPr>
      </w:pPr>
    </w:p>
    <w:p>
      <w:pPr>
        <w:numPr>
          <w:ilvl w:val="0"/>
          <w:numId w:val="0"/>
        </w:numPr>
        <w:spacing w:line="300" w:lineRule="atLeast"/>
        <w:rPr>
          <w:rFonts w:hint="eastAsia" w:ascii="宋体" w:hAnsi="宋体" w:eastAsia="宋体" w:cs="宋体"/>
          <w:b w:val="0"/>
          <w:bCs w:val="0"/>
          <w:color w:val="FF0000"/>
          <w:sz w:val="24"/>
          <w:szCs w:val="24"/>
          <w:lang w:val="en-US" w:eastAsia="zh-CN"/>
        </w:rPr>
      </w:pPr>
      <w:r>
        <w:rPr>
          <w:rFonts w:hint="eastAsia"/>
          <w:b/>
          <w:bCs/>
          <w:sz w:val="28"/>
          <w:szCs w:val="28"/>
          <w:lang w:val="en-US" w:eastAsia="zh-CN"/>
        </w:rPr>
        <w:t>一、项目名称</w:t>
      </w:r>
      <w:r>
        <w:rPr>
          <w:rFonts w:hint="eastAsia"/>
          <w:sz w:val="24"/>
          <w:szCs w:val="24"/>
        </w:rPr>
        <w:t>：</w:t>
      </w:r>
      <w:bookmarkStart w:id="0" w:name="OLE_LINK1"/>
      <w:bookmarkStart w:id="5" w:name="_GoBack"/>
      <w:r>
        <w:rPr>
          <w:rFonts w:hint="eastAsia"/>
          <w:sz w:val="24"/>
          <w:szCs w:val="24"/>
          <w:lang w:val="en-US" w:eastAsia="zh-CN"/>
        </w:rPr>
        <w:t>医院</w:t>
      </w:r>
      <w:r>
        <w:rPr>
          <w:rFonts w:hint="eastAsia" w:ascii="宋体" w:hAnsi="宋体" w:eastAsia="宋体" w:cs="宋体"/>
          <w:b w:val="0"/>
          <w:bCs w:val="0"/>
          <w:sz w:val="24"/>
          <w:szCs w:val="24"/>
          <w:lang w:val="en-US" w:eastAsia="zh-Hans"/>
        </w:rPr>
        <w:t>财务数字处理自动化软件</w:t>
      </w:r>
      <w:r>
        <w:rPr>
          <w:rFonts w:hint="eastAsia" w:ascii="宋体" w:hAnsi="宋体" w:cs="宋体"/>
          <w:b w:val="0"/>
          <w:bCs w:val="0"/>
          <w:sz w:val="24"/>
          <w:szCs w:val="24"/>
          <w:lang w:val="en-US" w:eastAsia="zh-CN"/>
        </w:rPr>
        <w:t>采购</w:t>
      </w:r>
      <w:bookmarkEnd w:id="5"/>
    </w:p>
    <w:bookmarkEnd w:id="0"/>
    <w:p>
      <w:pPr>
        <w:spacing w:line="360" w:lineRule="auto"/>
        <w:rPr>
          <w:rFonts w:hint="default"/>
          <w:sz w:val="24"/>
          <w:szCs w:val="24"/>
          <w:lang w:val="en-US"/>
        </w:rPr>
      </w:pPr>
      <w:r>
        <w:rPr>
          <w:rFonts w:hint="eastAsia"/>
          <w:b/>
          <w:bCs/>
          <w:sz w:val="28"/>
          <w:szCs w:val="28"/>
          <w:lang w:val="en-US" w:eastAsia="zh-CN"/>
        </w:rPr>
        <w:t>二、采购方式：</w:t>
      </w:r>
      <w:r>
        <w:rPr>
          <w:rFonts w:hint="eastAsia"/>
          <w:sz w:val="24"/>
          <w:szCs w:val="24"/>
          <w:lang w:val="en-US" w:eastAsia="zh-CN"/>
        </w:rPr>
        <w:t>院内公开遴选（非政府采购）</w:t>
      </w:r>
    </w:p>
    <w:p>
      <w:pPr>
        <w:spacing w:line="360" w:lineRule="auto"/>
        <w:rPr>
          <w:rFonts w:hint="default"/>
          <w:b/>
          <w:bCs/>
          <w:sz w:val="28"/>
          <w:szCs w:val="28"/>
          <w:lang w:val="en-US" w:eastAsia="zh-CN"/>
        </w:rPr>
      </w:pPr>
      <w:r>
        <w:rPr>
          <w:rFonts w:hint="eastAsia"/>
          <w:b/>
          <w:bCs/>
          <w:sz w:val="28"/>
          <w:szCs w:val="28"/>
          <w:lang w:val="en-US" w:eastAsia="zh-CN"/>
        </w:rPr>
        <w:t>三、</w:t>
      </w:r>
      <w:r>
        <w:rPr>
          <w:rFonts w:hint="eastAsia"/>
          <w:b/>
          <w:bCs/>
          <w:sz w:val="28"/>
          <w:szCs w:val="28"/>
        </w:rPr>
        <w:t>预算</w:t>
      </w:r>
      <w:r>
        <w:rPr>
          <w:rFonts w:hint="eastAsia"/>
          <w:b/>
          <w:bCs/>
          <w:sz w:val="28"/>
          <w:szCs w:val="28"/>
          <w:lang w:val="en-US" w:eastAsia="zh-CN"/>
        </w:rPr>
        <w:t>金额</w:t>
      </w:r>
      <w:r>
        <w:rPr>
          <w:rFonts w:hint="eastAsia"/>
          <w:b/>
          <w:bCs/>
          <w:sz w:val="28"/>
          <w:szCs w:val="28"/>
        </w:rPr>
        <w:t>：</w:t>
      </w:r>
      <w:r>
        <w:rPr>
          <w:rFonts w:hint="eastAsia" w:ascii="宋体" w:hAnsi="宋体" w:cs="宋体"/>
          <w:b w:val="0"/>
          <w:bCs w:val="0"/>
          <w:sz w:val="24"/>
          <w:szCs w:val="24"/>
          <w:lang w:val="en-US" w:eastAsia="zh-CN"/>
        </w:rPr>
        <w:t>60000</w:t>
      </w:r>
      <w:r>
        <w:rPr>
          <w:rFonts w:hint="eastAsia" w:ascii="宋体" w:hAnsi="宋体" w:eastAsia="宋体" w:cs="宋体"/>
          <w:sz w:val="24"/>
          <w:szCs w:val="24"/>
        </w:rPr>
        <w:t>元</w:t>
      </w:r>
    </w:p>
    <w:p>
      <w:pPr>
        <w:spacing w:line="360" w:lineRule="auto"/>
        <w:rPr>
          <w:rFonts w:hint="eastAsia" w:ascii="宋体" w:hAnsi="宋体"/>
          <w:b/>
          <w:bCs/>
          <w:color w:val="000000"/>
          <w:sz w:val="28"/>
          <w:szCs w:val="28"/>
          <w:lang w:val="en-US" w:eastAsia="zh-CN"/>
        </w:rPr>
      </w:pPr>
      <w:r>
        <w:rPr>
          <w:rFonts w:hint="eastAsia" w:ascii="宋体" w:hAnsi="宋体"/>
          <w:b/>
          <w:bCs/>
          <w:color w:val="000000"/>
          <w:sz w:val="28"/>
          <w:szCs w:val="28"/>
          <w:lang w:val="en-US" w:eastAsia="zh-CN"/>
        </w:rPr>
        <w:t>四、服务具体要求</w:t>
      </w:r>
    </w:p>
    <w:p>
      <w:pPr>
        <w:spacing w:line="460" w:lineRule="exact"/>
        <w:ind w:firstLine="480" w:firstLineChars="200"/>
        <w:rPr>
          <w:rFonts w:hint="eastAsia" w:ascii="宋体" w:hAnsi="宋体"/>
          <w:b/>
          <w:bCs/>
          <w:color w:val="000000"/>
          <w:sz w:val="28"/>
          <w:szCs w:val="28"/>
          <w:lang w:val="en-US" w:eastAsia="zh-CN"/>
        </w:rPr>
      </w:pPr>
      <w:r>
        <w:rPr>
          <w:rFonts w:hint="default" w:ascii="Times New Roman" w:hAnsi="Times New Roman" w:eastAsia="宋体" w:cs="Times New Roman"/>
          <w:color w:val="000000" w:themeColor="text1"/>
          <w:sz w:val="24"/>
          <w:szCs w:val="24"/>
          <w:lang w:val="en-US" w:eastAsia="zh-CN"/>
        </w:rPr>
        <w:t>医院各科室财务与业务人员日常需处理大量跨系统、重复性的数据处理工作，业务场景复杂繁琐，人工操作耗时长、易出错；且各平台系统间存在数据壁垒、医疗系统信息碎片化，业务人员需在不同系统间反复执行手动操作。为减轻业务人员工作压力、提升数据处理准确率、推进数字化医院建设进程，拟采购医院财务数字处理自动化软件，用于实现财务数字处理、单据下载、数据比对等业务流程的自动化，本项目采购内容包含软件产品许可、实施部署、流程开发、培训与售后运维服务。</w:t>
      </w:r>
      <w:r>
        <w:rPr>
          <w:rFonts w:hint="eastAsia" w:ascii="Times New Roman" w:hAnsi="Times New Roman" w:eastAsia="宋体" w:cs="Times New Roman"/>
          <w:color w:val="000000" w:themeColor="text1"/>
          <w:sz w:val="24"/>
          <w:szCs w:val="24"/>
          <w:lang w:val="en-US" w:eastAsia="zh-CN"/>
        </w:rPr>
        <w:t>具体要求如下：</w:t>
      </w:r>
    </w:p>
    <w:tbl>
      <w:tblPr>
        <w:tblStyle w:val="16"/>
        <w:tblW w:w="10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920"/>
        <w:gridCol w:w="8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8"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编号</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功能</w:t>
            </w:r>
          </w:p>
        </w:tc>
        <w:tc>
          <w:tcPr>
            <w:tcW w:w="8201"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01</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开发环境</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提供完整的开发环境、运行环境和集中管理监控环境。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02</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部署环境</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★开发环境、运行环境、集中管理监控环境支持内外网络部署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03</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界面应用</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提供对各类界面元素的识别、定位、操作的功能，包括但不仅限于网页类界面和本地化应用类界面，拥有AI识别能力的CV模型，可适用于任何无法识别的系统流程自动化。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04</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界面功能</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提供对界面元素中的文本、按钮和图像等进行识别和操作的功能，包括但不仅限于鼠标点击、移动等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05</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办公套件支持</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★提供对主流办公套件包括但不仅限于：Office，PDF的操作能力，能够新建、读取、修改、保存相关文件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06</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常用软件支持</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提供对常用IM软件包括但不仅限于：QQ、微信、企业微信、钉钉等的操作能力，能够实现自动化的消息读取、发送操作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07</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浏览器支持</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★提供针对主流浏览器包括但不仅限于IE、Firefox、Chrome的基本操作功能，包括但不仅限于新建和关闭标签、加载网页、读取源码等。具备在浏览器环境执行Javascript的能力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08</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界面数据抓取</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提供网页和界面多行数据批量抓取、翻页抓取功能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09</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流程开发</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★具备一个主流程和多个辅助流程并行执行能力；具备对开发中的流程进行标准化规则分析的能力；调试具备单步调试，条件调试，慢节奏调试，远程调试等。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10</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自动化组件</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提供端到端流程自动化人参与其中的组件：行动平台。通过行动平台，用户可完成机器人的最大化利用，并使用户体验最佳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11</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版本</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专业版本和公民开发者两种模式的开发环境，专业版本支持极低代码量的拖拉形式的通用流程编译，的能够提供程序调试功能包括但不仅限于：设置断点、变量跟踪、单步执行、日志输出。公民版支持基本无代码的OFFICE，SAP,网页等应用级别组件的拖拉形式完成流程的编译，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12</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代码管理</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提供代码的版本管理功能，支持SVN，GIT集成等，提供各版本与当前代码之间差异分析功能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1</w:t>
            </w:r>
            <w:r>
              <w:rPr>
                <w:rFonts w:hint="eastAsia" w:ascii="宋体" w:hAnsi="宋体" w:eastAsia="宋体" w:cs="宋体"/>
                <w:color w:val="000000" w:themeColor="text1"/>
                <w:sz w:val="22"/>
                <w:szCs w:val="22"/>
                <w:lang w:val="en-US" w:eastAsia="zh-CN"/>
              </w:rPr>
              <w:t>3</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语言扩展</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提供通过第三方语言编写扩展的功能，包括但不仅限于.Net、Python、Java语言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1</w:t>
            </w:r>
            <w:r>
              <w:rPr>
                <w:rFonts w:hint="eastAsia" w:ascii="宋体" w:hAnsi="宋体" w:eastAsia="宋体" w:cs="宋体"/>
                <w:color w:val="000000" w:themeColor="text1"/>
                <w:sz w:val="22"/>
                <w:szCs w:val="22"/>
                <w:lang w:val="en-US" w:eastAsia="zh-CN"/>
              </w:rPr>
              <w:t>4</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密码管理</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提供账户密码管理功能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1</w:t>
            </w:r>
            <w:r>
              <w:rPr>
                <w:rFonts w:hint="eastAsia" w:ascii="宋体" w:hAnsi="宋体" w:eastAsia="宋体" w:cs="宋体"/>
                <w:color w:val="000000" w:themeColor="text1"/>
                <w:sz w:val="22"/>
                <w:szCs w:val="22"/>
                <w:lang w:val="en-US" w:eastAsia="zh-CN"/>
              </w:rPr>
              <w:t>5</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用户权限</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提供多层级组织架构和基于角色的用户权限管理功能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1</w:t>
            </w:r>
            <w:r>
              <w:rPr>
                <w:rFonts w:hint="eastAsia" w:ascii="宋体" w:hAnsi="宋体" w:eastAsia="宋体" w:cs="宋体"/>
                <w:color w:val="000000" w:themeColor="text1"/>
                <w:sz w:val="22"/>
                <w:szCs w:val="22"/>
                <w:lang w:val="en-US" w:eastAsia="zh-CN"/>
              </w:rPr>
              <w:t>6</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流程任务</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提供通过管理端对指定执行端下发流程任务的功能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1</w:t>
            </w:r>
            <w:r>
              <w:rPr>
                <w:rFonts w:hint="eastAsia" w:ascii="宋体" w:hAnsi="宋体" w:eastAsia="宋体" w:cs="宋体"/>
                <w:color w:val="000000" w:themeColor="text1"/>
                <w:sz w:val="22"/>
                <w:szCs w:val="22"/>
                <w:lang w:val="en-US" w:eastAsia="zh-CN"/>
              </w:rPr>
              <w:t>7</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版本功能</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提供在执行端执行不同版本的流程的功能，并提供版本的回溯功能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18</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参数管理</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提供流程执行的参数管理功能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19</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监控功能</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提供多维度查看和监控执行端使用情况功能，提供统计汇总和明细数据功能，包括但不仅限于：部门、运行时长等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20</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扩展性</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具备后期与AI平台对接的扩展性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2</w:t>
            </w:r>
            <w:r>
              <w:rPr>
                <w:rFonts w:hint="eastAsia" w:ascii="宋体" w:hAnsi="宋体" w:eastAsia="宋体" w:cs="宋体"/>
                <w:color w:val="000000" w:themeColor="text1"/>
                <w:sz w:val="22"/>
                <w:szCs w:val="22"/>
                <w:lang w:val="en-US" w:eastAsia="zh-CN"/>
              </w:rPr>
              <w:t>1</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授权功能</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lang w:val="en-US" w:eastAsia="zh-CN"/>
              </w:rPr>
              <w:t>系统</w:t>
            </w:r>
            <w:r>
              <w:rPr>
                <w:rFonts w:hint="eastAsia" w:ascii="宋体" w:hAnsi="宋体" w:eastAsia="宋体" w:cs="宋体"/>
                <w:color w:val="000000" w:themeColor="text1"/>
                <w:sz w:val="22"/>
                <w:szCs w:val="22"/>
              </w:rPr>
              <w:t>和设计器均支持多种授权模式，包括但不仅限于绑定控制器和单独授权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2</w:t>
            </w:r>
            <w:r>
              <w:rPr>
                <w:rFonts w:hint="eastAsia" w:ascii="宋体" w:hAnsi="宋体" w:eastAsia="宋体" w:cs="宋体"/>
                <w:color w:val="000000" w:themeColor="text1"/>
                <w:sz w:val="22"/>
                <w:szCs w:val="22"/>
                <w:lang w:val="en-US" w:eastAsia="zh-CN"/>
              </w:rPr>
              <w:t>2</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执行功能</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支持手工执行和按计划任务自动执行；支持接收来自控制器的控制按周期执行任务或者按照队列数据进行流程触发执行；支持独立导入流程任务；自动化流程执行后，</w:t>
            </w:r>
            <w:r>
              <w:rPr>
                <w:rFonts w:hint="eastAsia" w:ascii="宋体" w:hAnsi="宋体" w:eastAsia="宋体" w:cs="宋体"/>
                <w:color w:val="000000" w:themeColor="text1"/>
                <w:sz w:val="22"/>
                <w:szCs w:val="22"/>
                <w:lang w:val="en-US" w:eastAsia="zh-CN"/>
              </w:rPr>
              <w:t>系统</w:t>
            </w:r>
            <w:r>
              <w:rPr>
                <w:rFonts w:hint="eastAsia" w:ascii="宋体" w:hAnsi="宋体" w:eastAsia="宋体" w:cs="宋体"/>
                <w:color w:val="000000" w:themeColor="text1"/>
                <w:sz w:val="22"/>
                <w:szCs w:val="22"/>
              </w:rPr>
              <w:t>记录运行日志并可供查看；支持日历导入，根据定制日历来设置非工作日进行流程运行频率设置。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2</w:t>
            </w:r>
            <w:r>
              <w:rPr>
                <w:rFonts w:hint="eastAsia" w:ascii="宋体" w:hAnsi="宋体" w:eastAsia="宋体" w:cs="宋体"/>
                <w:color w:val="000000" w:themeColor="text1"/>
                <w:sz w:val="22"/>
                <w:szCs w:val="22"/>
                <w:lang w:val="en-US" w:eastAsia="zh-CN"/>
              </w:rPr>
              <w:t>3</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Windows部署</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★支持Windows（Win7及以上版本）、操作系统的安装和部署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2</w:t>
            </w:r>
            <w:r>
              <w:rPr>
                <w:rFonts w:hint="eastAsia" w:ascii="宋体" w:hAnsi="宋体" w:eastAsia="宋体" w:cs="宋体"/>
                <w:color w:val="000000" w:themeColor="text1"/>
                <w:sz w:val="22"/>
                <w:szCs w:val="22"/>
                <w:lang w:val="en-US" w:eastAsia="zh-CN"/>
              </w:rPr>
              <w:t>4</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低代码平台</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提供低代码平台App选项让用户自行创建门户网站统一调度机器人运行中心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2</w:t>
            </w:r>
            <w:r>
              <w:rPr>
                <w:rFonts w:hint="eastAsia" w:ascii="宋体" w:hAnsi="宋体" w:eastAsia="宋体" w:cs="宋体"/>
                <w:color w:val="000000" w:themeColor="text1"/>
                <w:sz w:val="22"/>
                <w:szCs w:val="22"/>
                <w:lang w:val="en-US" w:eastAsia="zh-CN"/>
              </w:rPr>
              <w:t>5</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存储流程</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设计器提供Data Service可存储流程运行产生的数据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2</w:t>
            </w:r>
            <w:r>
              <w:rPr>
                <w:rFonts w:hint="eastAsia" w:ascii="宋体" w:hAnsi="宋体" w:eastAsia="宋体" w:cs="宋体"/>
                <w:color w:val="000000" w:themeColor="text1"/>
                <w:sz w:val="22"/>
                <w:szCs w:val="22"/>
                <w:lang w:val="en-US" w:eastAsia="zh-CN"/>
              </w:rPr>
              <w:t>6</w:t>
            </w:r>
          </w:p>
        </w:tc>
        <w:tc>
          <w:tcPr>
            <w:tcW w:w="1920"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平台扩展工具</w:t>
            </w:r>
          </w:p>
        </w:tc>
        <w:tc>
          <w:tcPr>
            <w:tcW w:w="8201" w:type="dxa"/>
            <w:vAlign w:val="center"/>
          </w:tcPr>
          <w:p>
            <w:pPr>
              <w:spacing w:line="360" w:lineRule="auto"/>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提供支持流程挖掘和流程需求分析的工具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27</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自动化测试组件</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提供自动化测试组件可用于</w:t>
            </w:r>
            <w:r>
              <w:rPr>
                <w:rFonts w:hint="eastAsia" w:ascii="宋体" w:hAnsi="宋体" w:eastAsia="宋体" w:cs="宋体"/>
                <w:color w:val="000000" w:themeColor="text1"/>
                <w:sz w:val="22"/>
                <w:szCs w:val="22"/>
                <w:lang w:val="en-US" w:eastAsia="zh-CN"/>
              </w:rPr>
              <w:t>系统</w:t>
            </w:r>
            <w:r>
              <w:rPr>
                <w:rFonts w:hint="eastAsia" w:ascii="宋体" w:hAnsi="宋体" w:eastAsia="宋体" w:cs="宋体"/>
                <w:color w:val="000000" w:themeColor="text1"/>
                <w:sz w:val="22"/>
                <w:szCs w:val="22"/>
              </w:rPr>
              <w:t>测试+应用测试（包括手机端应用）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28</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兼容性</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需能兼容原有流程的运行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29</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升级和部署</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支持由平台统一推送软件升级包或者安装包到客户端进行升级或者安装；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30</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流程运维</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具备对流程运行过程进行监控的能力，可以由监控系统生成流程运行视频和截图。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31</w:t>
            </w:r>
          </w:p>
        </w:tc>
        <w:tc>
          <w:tcPr>
            <w:tcW w:w="1920" w:type="dxa"/>
            <w:vMerge w:val="restart"/>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bCs/>
                <w:spacing w:val="-6"/>
                <w:sz w:val="22"/>
                <w:szCs w:val="22"/>
                <w:lang w:val="en-US" w:eastAsia="zh-CN"/>
              </w:rPr>
              <w:t>★</w:t>
            </w:r>
            <w:r>
              <w:rPr>
                <w:rFonts w:hint="eastAsia" w:ascii="宋体" w:hAnsi="宋体" w:eastAsia="宋体" w:cs="宋体"/>
                <w:color w:val="000000" w:themeColor="text1"/>
                <w:sz w:val="22"/>
                <w:szCs w:val="22"/>
              </w:rPr>
              <w:t>下载日期选择自动化</w:t>
            </w: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日历提示框清晰标注可下载日期区间，自动屏蔽无效日期（如无数据日期）。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6"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支持批量导入Excel格式的日期列表，一次性触发多批次文档下载。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32</w:t>
            </w:r>
          </w:p>
        </w:tc>
        <w:tc>
          <w:tcPr>
            <w:tcW w:w="1920" w:type="dxa"/>
            <w:vMerge w:val="restart"/>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bCs/>
                <w:spacing w:val="-6"/>
                <w:sz w:val="22"/>
                <w:szCs w:val="22"/>
                <w:lang w:val="en-US" w:eastAsia="zh-CN"/>
              </w:rPr>
              <w:t>★</w:t>
            </w:r>
            <w:r>
              <w:rPr>
                <w:rFonts w:hint="eastAsia" w:ascii="宋体" w:hAnsi="宋体" w:eastAsia="宋体" w:cs="宋体"/>
                <w:color w:val="000000" w:themeColor="text1"/>
                <w:sz w:val="22"/>
                <w:szCs w:val="22"/>
              </w:rPr>
              <w:t>SPD文档自动下载</w:t>
            </w: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支持多条件组合筛选目标文档（如“2026年3月+XX供应商+药品采购”），条件可动态配置。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下载完成后自动校验文件完整性（MD5校验），损坏文件自动重新下载。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下载日志支持按日期、供应商、文档类型等维度检索查询。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33</w:t>
            </w:r>
          </w:p>
        </w:tc>
        <w:tc>
          <w:tcPr>
            <w:tcW w:w="1920" w:type="dxa"/>
            <w:vMerge w:val="restart"/>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bCs/>
                <w:spacing w:val="-6"/>
                <w:sz w:val="22"/>
                <w:szCs w:val="22"/>
                <w:lang w:val="en-US" w:eastAsia="zh-CN"/>
              </w:rPr>
              <w:t>★</w:t>
            </w:r>
            <w:r>
              <w:rPr>
                <w:rFonts w:hint="eastAsia" w:ascii="宋体" w:hAnsi="宋体" w:eastAsia="宋体" w:cs="宋体"/>
                <w:color w:val="000000" w:themeColor="text1"/>
                <w:sz w:val="22"/>
                <w:szCs w:val="22"/>
              </w:rPr>
              <w:t>Excel数据筛选汇总自动化</w:t>
            </w: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自动识别Excel表头，支持批量配置筛选规则并一键应用，无需手动调整表头映射。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汇总报表支持自定义格式（字体、颜色、数据透视表），支持导出Excel/PDF格式。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自动标记异常数据（空值、超范围值），生成异常清单并关联原始数据。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18"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34</w:t>
            </w:r>
          </w:p>
        </w:tc>
        <w:tc>
          <w:tcPr>
            <w:tcW w:w="1920" w:type="dxa"/>
            <w:vMerge w:val="restart"/>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bCs/>
                <w:spacing w:val="-6"/>
                <w:sz w:val="22"/>
                <w:szCs w:val="22"/>
                <w:lang w:val="en-US" w:eastAsia="zh-CN"/>
              </w:rPr>
              <w:t>★</w:t>
            </w:r>
            <w:r>
              <w:rPr>
                <w:rFonts w:hint="eastAsia" w:ascii="宋体" w:hAnsi="宋体" w:eastAsia="宋体" w:cs="宋体"/>
                <w:color w:val="000000" w:themeColor="text1"/>
                <w:sz w:val="22"/>
                <w:szCs w:val="22"/>
              </w:rPr>
              <w:t>数据自动对比</w:t>
            </w: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对比规则可可视化配置（新增/修改/删除），支持自定义对比字段和误差阈值（如金额误差≤0.01元视为匹配）。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对比报告包含“匹配数据统计、差异数据明细、异常数据原因分析”，支持一键导出和打印。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支持差异数据手动复核，复核后可重新触发对比或直接提交录入。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35</w:t>
            </w:r>
          </w:p>
        </w:tc>
        <w:tc>
          <w:tcPr>
            <w:tcW w:w="1920"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kern w:val="0"/>
                <w:sz w:val="22"/>
                <w:szCs w:val="22"/>
                <w:lang w:bidi="ar"/>
              </w:rPr>
              <w:t>▲</w:t>
            </w:r>
            <w:r>
              <w:rPr>
                <w:rFonts w:hint="eastAsia" w:ascii="宋体" w:hAnsi="宋体" w:eastAsia="宋体" w:cs="宋体"/>
                <w:color w:val="000000" w:themeColor="text1"/>
                <w:sz w:val="22"/>
                <w:szCs w:val="22"/>
                <w:lang w:val="en-US" w:eastAsia="zh-CN"/>
              </w:rPr>
              <w:t>发票池数据读取</w:t>
            </w:r>
          </w:p>
        </w:tc>
        <w:tc>
          <w:tcPr>
            <w:tcW w:w="8201" w:type="dxa"/>
            <w:vAlign w:val="center"/>
          </w:tcPr>
          <w:p>
            <w:pPr>
              <w:spacing w:line="460" w:lineRule="exact"/>
              <w:jc w:val="left"/>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rPr>
              <w:t>支持用户手动录入或批量导入发票号码，系统自动在发票池中检索对应发票，并获取该发票的金额数据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lang w:val="en-US" w:eastAsia="zh-CN"/>
              </w:rPr>
            </w:pPr>
          </w:p>
        </w:tc>
        <w:tc>
          <w:tcPr>
            <w:tcW w:w="8201" w:type="dxa"/>
            <w:vAlign w:val="center"/>
          </w:tcPr>
          <w:p>
            <w:pPr>
              <w:spacing w:line="460" w:lineRule="exact"/>
              <w:jc w:val="left"/>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rPr>
              <w:t>系统将录入金额与发票池返回金额进行自动比对：金额一致→判定为“金额对比正确”</w:t>
            </w:r>
            <w:r>
              <w:rPr>
                <w:rFonts w:hint="eastAsia" w:ascii="宋体" w:hAnsi="宋体" w:eastAsia="宋体" w:cs="宋体"/>
                <w:color w:val="000000" w:themeColor="text1"/>
                <w:sz w:val="22"/>
                <w:szCs w:val="22"/>
                <w:lang w:eastAsia="zh-CN"/>
              </w:rPr>
              <w:t>，</w:t>
            </w:r>
            <w:r>
              <w:rPr>
                <w:rFonts w:hint="eastAsia" w:ascii="宋体" w:hAnsi="宋体" w:eastAsia="宋体" w:cs="宋体"/>
                <w:color w:val="000000" w:themeColor="text1"/>
                <w:sz w:val="22"/>
                <w:szCs w:val="22"/>
              </w:rPr>
              <w:t>金额不一致或未找到发票→判定为“金额对比失败”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lang w:val="en-US" w:eastAsia="zh-CN"/>
              </w:rPr>
            </w:pPr>
          </w:p>
        </w:tc>
        <w:tc>
          <w:tcPr>
            <w:tcW w:w="8201" w:type="dxa"/>
            <w:vAlign w:val="center"/>
          </w:tcPr>
          <w:p>
            <w:pPr>
              <w:spacing w:line="460" w:lineRule="exact"/>
              <w:jc w:val="left"/>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rPr>
              <w:t>对比完成后，系统需清晰展示每条记录的比对结果（正确/失败）及失败原因，支持导出失败清单，并具备接口异常重试机制。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36</w:t>
            </w:r>
          </w:p>
        </w:tc>
        <w:tc>
          <w:tcPr>
            <w:tcW w:w="1920"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kern w:val="0"/>
                <w:sz w:val="22"/>
                <w:szCs w:val="22"/>
                <w:lang w:bidi="ar"/>
              </w:rPr>
              <w:t>▲</w:t>
            </w:r>
            <w:r>
              <w:rPr>
                <w:rFonts w:hint="eastAsia" w:ascii="宋体" w:hAnsi="宋体" w:eastAsia="宋体" w:cs="宋体"/>
                <w:color w:val="000000" w:themeColor="text1"/>
                <w:sz w:val="22"/>
                <w:szCs w:val="22"/>
                <w:lang w:val="en-US" w:eastAsia="zh-CN"/>
              </w:rPr>
              <w:t>医疗耗材自动对比收入</w:t>
            </w:r>
          </w:p>
        </w:tc>
        <w:tc>
          <w:tcPr>
            <w:tcW w:w="8201" w:type="dxa"/>
            <w:vAlign w:val="center"/>
          </w:tcPr>
          <w:p>
            <w:pPr>
              <w:spacing w:line="460" w:lineRule="exact"/>
              <w:jc w:val="left"/>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rPr>
              <w:t>支持系统自动获取发票中的金额数据，并同步调取耗材平台中对应订单或物料的金额信息，建立一对一的金额比对关系。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lang w:val="en-US" w:eastAsia="zh-CN"/>
              </w:rPr>
            </w:pPr>
          </w:p>
        </w:tc>
        <w:tc>
          <w:tcPr>
            <w:tcW w:w="8201" w:type="dxa"/>
            <w:vAlign w:val="center"/>
          </w:tcPr>
          <w:p>
            <w:pPr>
              <w:spacing w:line="460" w:lineRule="exact"/>
              <w:jc w:val="left"/>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系统将发票金额与耗材平台返回的金额进行自动比对：金额一致→判定为“金额匹配”，进入人工正常审核流程</w:t>
            </w:r>
            <w:r>
              <w:rPr>
                <w:rFonts w:hint="eastAsia" w:ascii="宋体" w:hAnsi="宋体" w:eastAsia="宋体" w:cs="宋体"/>
                <w:color w:val="000000" w:themeColor="text1"/>
                <w:sz w:val="22"/>
                <w:szCs w:val="22"/>
                <w:lang w:eastAsia="zh-CN"/>
              </w:rPr>
              <w:t>，</w:t>
            </w:r>
          </w:p>
          <w:p>
            <w:pPr>
              <w:spacing w:line="460" w:lineRule="exact"/>
              <w:jc w:val="left"/>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rPr>
              <w:t>金额不一致→判定为“金额不匹配”，返回明确提示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lang w:val="en-US" w:eastAsia="zh-CN"/>
              </w:rPr>
            </w:pPr>
          </w:p>
        </w:tc>
        <w:tc>
          <w:tcPr>
            <w:tcW w:w="8201" w:type="dxa"/>
            <w:vAlign w:val="center"/>
          </w:tcPr>
          <w:p>
            <w:pPr>
              <w:spacing w:line="460" w:lineRule="exact"/>
              <w:jc w:val="left"/>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rPr>
              <w:t>对比完成后，系统需清晰展示每条记录的比对结果（匹配/不匹配）及差异详情，支持对不匹配数据导出清单，并具备接口调用异常时的重试与日志记录机制。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37</w:t>
            </w:r>
          </w:p>
        </w:tc>
        <w:tc>
          <w:tcPr>
            <w:tcW w:w="1920"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bCs/>
                <w:spacing w:val="-6"/>
                <w:sz w:val="22"/>
                <w:szCs w:val="22"/>
                <w:lang w:val="en-US" w:eastAsia="zh-CN"/>
              </w:rPr>
              <w:t>★</w:t>
            </w:r>
            <w:r>
              <w:rPr>
                <w:rFonts w:hint="eastAsia" w:ascii="宋体" w:hAnsi="宋体" w:eastAsia="宋体" w:cs="宋体"/>
                <w:color w:val="000000" w:themeColor="text1"/>
                <w:sz w:val="22"/>
                <w:szCs w:val="22"/>
                <w:lang w:val="en-US" w:eastAsia="zh-CN"/>
              </w:rPr>
              <w:t>其它</w:t>
            </w:r>
          </w:p>
        </w:tc>
        <w:tc>
          <w:tcPr>
            <w:tcW w:w="8201" w:type="dxa"/>
            <w:vAlign w:val="center"/>
          </w:tcPr>
          <w:p>
            <w:pPr>
              <w:spacing w:line="360" w:lineRule="auto"/>
              <w:ind w:firstLine="416" w:firstLineChars="200"/>
              <w:rPr>
                <w:rFonts w:hint="eastAsia" w:ascii="宋体" w:hAnsi="宋体" w:eastAsia="宋体" w:cs="宋体"/>
                <w:color w:val="000000" w:themeColor="text1"/>
                <w:sz w:val="22"/>
                <w:szCs w:val="22"/>
              </w:rPr>
            </w:pPr>
            <w:r>
              <w:rPr>
                <w:rFonts w:hint="eastAsia" w:ascii="宋体" w:hAnsi="宋体" w:eastAsia="宋体" w:cs="宋体"/>
                <w:bCs/>
                <w:spacing w:val="-6"/>
                <w:sz w:val="22"/>
                <w:szCs w:val="22"/>
                <w:lang w:val="en-US" w:eastAsia="zh-CN"/>
              </w:rPr>
              <w:t>★</w:t>
            </w:r>
            <w:r>
              <w:rPr>
                <w:rFonts w:hint="eastAsia" w:ascii="宋体" w:hAnsi="宋体" w:eastAsia="宋体" w:cs="宋体"/>
                <w:sz w:val="22"/>
                <w:szCs w:val="22"/>
              </w:rPr>
              <w:t>为保障产品安全性和可控性，中标单位应在签订采购合同之前到达采购人测试所有指标功能是否满足项目建设的需求，对于提供虚假参数强行中标的行为，经测试查实后取消其中标资格，并报上级部门单位严肃处理，并按相关要求赔偿采购方相关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10839" w:type="dxa"/>
            <w:gridSpan w:val="3"/>
            <w:vAlign w:val="center"/>
          </w:tcPr>
          <w:p>
            <w:pPr>
              <w:spacing w:line="460" w:lineRule="exact"/>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注</w:t>
            </w:r>
            <w:r>
              <w:rPr>
                <w:rFonts w:hint="default" w:ascii="Times New Roman" w:hAnsi="Times New Roman" w:eastAsia="宋体" w:cs="Times New Roman"/>
                <w:b/>
                <w:bCs/>
                <w:sz w:val="24"/>
                <w:szCs w:val="24"/>
              </w:rPr>
              <w:t>：以上</w:t>
            </w:r>
            <w:r>
              <w:rPr>
                <w:rFonts w:hint="eastAsia" w:ascii="Times New Roman" w:hAnsi="Times New Roman" w:eastAsia="宋体" w:cs="Times New Roman"/>
                <w:b/>
                <w:bCs/>
                <w:sz w:val="24"/>
                <w:szCs w:val="24"/>
                <w:lang w:eastAsia="zh-CN"/>
              </w:rPr>
              <w:t>“</w:t>
            </w:r>
            <w:r>
              <w:rPr>
                <w:rFonts w:hint="default" w:ascii="Times New Roman" w:hAnsi="Times New Roman" w:eastAsia="宋体" w:cs="Times New Roman"/>
                <w:b/>
                <w:bCs/>
                <w:sz w:val="24"/>
                <w:szCs w:val="24"/>
              </w:rPr>
              <w:t>▲</w:t>
            </w:r>
            <w:r>
              <w:rPr>
                <w:rFonts w:hint="eastAsia" w:ascii="Times New Roman" w:hAnsi="Times New Roman" w:eastAsia="宋体" w:cs="Times New Roman"/>
                <w:b/>
                <w:bCs/>
                <w:sz w:val="24"/>
                <w:szCs w:val="24"/>
                <w:lang w:eastAsia="zh-CN"/>
              </w:rPr>
              <w:t>”</w:t>
            </w:r>
            <w:r>
              <w:rPr>
                <w:rFonts w:hint="default" w:ascii="Times New Roman" w:hAnsi="Times New Roman" w:eastAsia="宋体" w:cs="Times New Roman"/>
                <w:b/>
                <w:bCs/>
                <w:sz w:val="24"/>
                <w:szCs w:val="24"/>
              </w:rPr>
              <w:t>要求</w:t>
            </w:r>
            <w:r>
              <w:rPr>
                <w:rFonts w:hint="eastAsia" w:ascii="Times New Roman" w:hAnsi="Times New Roman" w:eastAsia="宋体" w:cs="Times New Roman"/>
                <w:b/>
                <w:bCs/>
                <w:sz w:val="24"/>
                <w:szCs w:val="24"/>
                <w:lang w:val="en-US" w:eastAsia="zh-CN"/>
              </w:rPr>
              <w:t xml:space="preserve">为实质性 </w:t>
            </w:r>
            <w:r>
              <w:rPr>
                <w:rFonts w:hint="default" w:ascii="Times New Roman" w:hAnsi="Times New Roman" w:eastAsia="宋体" w:cs="Times New Roman"/>
                <w:b/>
                <w:bCs/>
                <w:sz w:val="24"/>
                <w:szCs w:val="24"/>
              </w:rPr>
              <w:t>本</w:t>
            </w:r>
            <w:r>
              <w:rPr>
                <w:rFonts w:hint="eastAsia" w:ascii="Times New Roman" w:hAnsi="Times New Roman" w:eastAsia="宋体" w:cs="Times New Roman"/>
                <w:b/>
                <w:bCs/>
                <w:sz w:val="24"/>
                <w:szCs w:val="24"/>
                <w:lang w:val="en-US" w:eastAsia="zh-CN"/>
              </w:rPr>
              <w:t>遴选</w:t>
            </w:r>
            <w:r>
              <w:rPr>
                <w:rFonts w:hint="default" w:ascii="Times New Roman" w:hAnsi="Times New Roman" w:eastAsia="宋体" w:cs="Times New Roman"/>
                <w:b/>
                <w:bCs/>
                <w:sz w:val="24"/>
                <w:szCs w:val="24"/>
              </w:rPr>
              <w:t>文件中所有带“▲”标记的条款均属于不可负偏离的实质性要求。</w:t>
            </w:r>
            <w:r>
              <w:rPr>
                <w:rFonts w:hint="eastAsia" w:ascii="Times New Roman" w:hAnsi="Times New Roman" w:eastAsia="宋体" w:cs="Times New Roman"/>
                <w:b/>
                <w:bCs/>
                <w:sz w:val="24"/>
                <w:szCs w:val="24"/>
                <w:lang w:val="en-US" w:eastAsia="zh-CN"/>
              </w:rPr>
              <w:t>响应供应商</w:t>
            </w:r>
            <w:r>
              <w:rPr>
                <w:rFonts w:hint="eastAsia" w:ascii="Times New Roman" w:hAnsi="Times New Roman" w:eastAsia="宋体" w:cs="Times New Roman"/>
                <w:b/>
                <w:bCs/>
                <w:sz w:val="24"/>
                <w:szCs w:val="24"/>
              </w:rPr>
              <w:t>若有任何一项未满足，将</w:t>
            </w:r>
            <w:r>
              <w:rPr>
                <w:rFonts w:hint="eastAsia" w:ascii="Times New Roman" w:hAnsi="Times New Roman" w:eastAsia="宋体" w:cs="Times New Roman"/>
                <w:b/>
                <w:bCs/>
                <w:sz w:val="24"/>
                <w:szCs w:val="24"/>
                <w:lang w:val="en-US" w:eastAsia="zh-CN"/>
              </w:rPr>
              <w:t>以</w:t>
            </w:r>
            <w:r>
              <w:rPr>
                <w:rFonts w:hint="eastAsia" w:ascii="Times New Roman" w:hAnsi="Times New Roman" w:eastAsia="宋体" w:cs="Times New Roman"/>
                <w:b/>
                <w:bCs/>
                <w:sz w:val="24"/>
                <w:szCs w:val="24"/>
              </w:rPr>
              <w:t>作废处理。</w:t>
            </w:r>
          </w:p>
        </w:tc>
      </w:tr>
    </w:tbl>
    <w:p>
      <w:pPr>
        <w:spacing w:line="360" w:lineRule="auto"/>
        <w:rPr>
          <w:rFonts w:hint="eastAsia" w:ascii="宋体" w:hAnsi="宋体"/>
          <w:b/>
          <w:bCs/>
          <w:color w:val="000000"/>
          <w:sz w:val="28"/>
          <w:szCs w:val="28"/>
          <w:lang w:val="en-US" w:eastAsia="zh-CN"/>
        </w:rPr>
      </w:pPr>
    </w:p>
    <w:p>
      <w:pPr>
        <w:tabs>
          <w:tab w:val="left" w:pos="360"/>
        </w:tabs>
        <w:spacing w:line="460" w:lineRule="exact"/>
        <w:outlineLvl w:val="9"/>
        <w:rPr>
          <w:rFonts w:hint="eastAsia" w:ascii="宋体" w:hAnsi="宋体" w:eastAsia="宋体" w:cs="宋体"/>
          <w:b/>
          <w:sz w:val="22"/>
          <w:szCs w:val="22"/>
          <w:lang w:val="en-US" w:eastAsia="zh-CN"/>
        </w:rPr>
      </w:pPr>
      <w:r>
        <w:rPr>
          <w:rFonts w:hint="eastAsia" w:ascii="宋体" w:hAnsi="宋体" w:eastAsia="宋体"/>
          <w:b/>
          <w:bCs/>
          <w:color w:val="000000"/>
          <w:sz w:val="28"/>
          <w:szCs w:val="28"/>
          <w:lang w:val="en-US" w:eastAsia="zh-CN"/>
        </w:rPr>
        <w:t>五、商务要求</w:t>
      </w:r>
    </w:p>
    <w:tbl>
      <w:tblPr>
        <w:tblStyle w:val="16"/>
        <w:tblW w:w="10680" w:type="dxa"/>
        <w:tblInd w:w="-40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85"/>
        <w:gridCol w:w="91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48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bookmarkStart w:id="1" w:name="_Hlk51759376"/>
            <w:r>
              <w:rPr>
                <w:rFonts w:hint="eastAsia" w:ascii="宋体" w:hAnsi="宋体" w:eastAsia="宋体" w:cs="宋体"/>
                <w:sz w:val="22"/>
                <w:szCs w:val="22"/>
                <w:lang w:val="en-US" w:eastAsia="zh-CN"/>
              </w:rPr>
              <w:t>支付方式</w:t>
            </w:r>
          </w:p>
        </w:tc>
        <w:tc>
          <w:tcPr>
            <w:tcW w:w="919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pStyle w:val="6"/>
              <w:pageBreakBefore w:val="0"/>
              <w:widowControl w:val="0"/>
              <w:tabs>
                <w:tab w:val="left" w:pos="4877"/>
              </w:tabs>
              <w:kinsoku/>
              <w:wordWrap/>
              <w:overflowPunct/>
              <w:topLinePunct w:val="0"/>
              <w:bidi w:val="0"/>
              <w:adjustRightInd/>
              <w:snapToGrid/>
              <w:spacing w:after="0" w:afterLines="0" w:line="460" w:lineRule="exact"/>
              <w:textAlignment w:val="auto"/>
              <w:rPr>
                <w:rFonts w:hint="eastAsia" w:ascii="宋体" w:hAnsi="宋体" w:eastAsia="宋体" w:cs="宋体"/>
                <w:sz w:val="22"/>
                <w:szCs w:val="22"/>
                <w:lang w:val="zh-CN" w:eastAsia="zh-CN"/>
              </w:rPr>
            </w:pPr>
            <w:r>
              <w:rPr>
                <w:rFonts w:hint="eastAsia" w:ascii="宋体" w:hAnsi="宋体" w:eastAsia="宋体" w:cs="宋体"/>
                <w:sz w:val="22"/>
                <w:szCs w:val="22"/>
                <w:highlight w:val="none"/>
                <w:lang w:eastAsia="zh-CN"/>
              </w:rPr>
              <w:t>系统</w:t>
            </w:r>
            <w:r>
              <w:rPr>
                <w:rFonts w:hint="eastAsia" w:ascii="宋体" w:hAnsi="宋体" w:eastAsia="宋体" w:cs="宋体"/>
                <w:sz w:val="22"/>
                <w:szCs w:val="22"/>
                <w:highlight w:val="none"/>
              </w:rPr>
              <w:t>安装调试完毕并经最终验收合格后</w:t>
            </w:r>
            <w:r>
              <w:rPr>
                <w:rFonts w:hint="eastAsia" w:ascii="宋体" w:hAnsi="宋体" w:eastAsia="宋体" w:cs="宋体"/>
                <w:sz w:val="22"/>
                <w:szCs w:val="22"/>
                <w:highlight w:val="none"/>
                <w:u w:val="none" w:color="auto"/>
                <w:lang w:val="en-US" w:eastAsia="zh-CN"/>
              </w:rPr>
              <w:t>三</w:t>
            </w:r>
            <w:r>
              <w:rPr>
                <w:rFonts w:hint="eastAsia" w:ascii="宋体" w:hAnsi="宋体" w:eastAsia="宋体" w:cs="宋体"/>
                <w:sz w:val="22"/>
                <w:szCs w:val="22"/>
                <w:highlight w:val="none"/>
                <w:u w:val="none" w:color="auto"/>
              </w:rPr>
              <w:t>个月</w:t>
            </w:r>
            <w:r>
              <w:rPr>
                <w:rFonts w:hint="eastAsia" w:ascii="宋体" w:hAnsi="宋体" w:eastAsia="宋体" w:cs="宋体"/>
                <w:sz w:val="22"/>
                <w:szCs w:val="22"/>
                <w:highlight w:val="none"/>
              </w:rPr>
              <w:t>内，</w:t>
            </w:r>
            <w:r>
              <w:rPr>
                <w:rFonts w:hint="eastAsia" w:ascii="宋体" w:hAnsi="宋体" w:eastAsia="宋体" w:cs="宋体"/>
                <w:sz w:val="22"/>
                <w:szCs w:val="22"/>
                <w:highlight w:val="none"/>
                <w:lang w:val="en-US" w:eastAsia="zh-CN"/>
              </w:rPr>
              <w:t>遴选方</w:t>
            </w:r>
            <w:r>
              <w:rPr>
                <w:rFonts w:hint="eastAsia" w:ascii="宋体" w:hAnsi="宋体" w:eastAsia="宋体" w:cs="宋体"/>
                <w:sz w:val="22"/>
                <w:szCs w:val="22"/>
                <w:highlight w:val="none"/>
              </w:rPr>
              <w:t>向</w:t>
            </w:r>
            <w:r>
              <w:rPr>
                <w:rFonts w:hint="eastAsia" w:ascii="宋体" w:hAnsi="宋体" w:eastAsia="宋体" w:cs="宋体"/>
                <w:sz w:val="22"/>
                <w:szCs w:val="22"/>
                <w:highlight w:val="none"/>
                <w:lang w:val="en-US" w:eastAsia="zh-CN"/>
              </w:rPr>
              <w:t>入围供应商</w:t>
            </w:r>
            <w:r>
              <w:rPr>
                <w:rFonts w:hint="eastAsia" w:ascii="宋体" w:hAnsi="宋体" w:eastAsia="宋体" w:cs="宋体"/>
                <w:sz w:val="22"/>
                <w:szCs w:val="22"/>
                <w:highlight w:val="none"/>
              </w:rPr>
              <w:t>支付全部合同价款。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48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维保</w:t>
            </w:r>
            <w:r>
              <w:rPr>
                <w:rFonts w:hint="eastAsia" w:ascii="宋体" w:hAnsi="宋体" w:eastAsia="宋体" w:cs="宋体"/>
                <w:sz w:val="22"/>
                <w:szCs w:val="22"/>
                <w:highlight w:val="none"/>
                <w:lang w:val="en-US" w:eastAsia="zh-CN"/>
              </w:rPr>
              <w:t>期</w:t>
            </w:r>
          </w:p>
        </w:tc>
        <w:tc>
          <w:tcPr>
            <w:tcW w:w="919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default"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本项目所有软件系统提供不少于</w:t>
            </w:r>
            <w:r>
              <w:rPr>
                <w:rFonts w:hint="eastAsia" w:ascii="宋体" w:hAnsi="宋体" w:cs="宋体"/>
                <w:sz w:val="22"/>
                <w:szCs w:val="22"/>
                <w:highlight w:val="none"/>
                <w:lang w:val="en-US" w:eastAsia="zh-CN"/>
              </w:rPr>
              <w:t>1</w:t>
            </w:r>
            <w:r>
              <w:rPr>
                <w:rFonts w:hint="eastAsia" w:ascii="宋体" w:hAnsi="宋体" w:eastAsia="宋体" w:cs="宋体"/>
                <w:sz w:val="22"/>
                <w:szCs w:val="22"/>
                <w:highlight w:val="none"/>
                <w:lang w:val="en-US" w:eastAsia="zh-CN"/>
              </w:rPr>
              <w:t>年的</w:t>
            </w:r>
            <w:r>
              <w:rPr>
                <w:rFonts w:hint="eastAsia" w:ascii="宋体" w:hAnsi="宋体" w:eastAsia="宋体" w:cs="宋体"/>
                <w:sz w:val="22"/>
                <w:szCs w:val="22"/>
                <w:highlight w:val="none"/>
                <w:lang w:val="zh-CN" w:eastAsia="zh-CN"/>
              </w:rPr>
              <w:t>免费维护服务和技术支持</w:t>
            </w:r>
            <w:r>
              <w:rPr>
                <w:rFonts w:hint="eastAsia" w:ascii="宋体" w:hAnsi="宋体" w:eastAsia="宋体" w:cs="宋体"/>
                <w:sz w:val="22"/>
                <w:szCs w:val="22"/>
                <w:highlight w:val="none"/>
                <w:lang w:val="en-US" w:eastAsia="zh-CN"/>
              </w:rPr>
              <w:t>，自验收合格之日起算。另有超过质保期规定或</w:t>
            </w:r>
            <w:r>
              <w:rPr>
                <w:rFonts w:hint="eastAsia" w:ascii="宋体" w:hAnsi="宋体" w:cs="宋体"/>
                <w:sz w:val="22"/>
                <w:szCs w:val="22"/>
                <w:highlight w:val="none"/>
                <w:lang w:val="en-US" w:eastAsia="zh-CN"/>
              </w:rPr>
              <w:t>遴选</w:t>
            </w:r>
            <w:r>
              <w:rPr>
                <w:rFonts w:hint="eastAsia" w:ascii="宋体" w:hAnsi="宋体" w:eastAsia="宋体" w:cs="宋体"/>
                <w:sz w:val="22"/>
                <w:szCs w:val="22"/>
                <w:highlight w:val="none"/>
                <w:lang w:val="en-US" w:eastAsia="zh-CN"/>
              </w:rPr>
              <w:t>文件另有规定的按就高原则执行。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48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供货期</w:t>
            </w:r>
          </w:p>
        </w:tc>
        <w:tc>
          <w:tcPr>
            <w:tcW w:w="919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合同签订后三个月内完成全部</w:t>
            </w:r>
            <w:r>
              <w:rPr>
                <w:rFonts w:hint="eastAsia" w:ascii="宋体" w:hAnsi="宋体" w:cs="宋体"/>
                <w:sz w:val="22"/>
                <w:szCs w:val="22"/>
                <w:lang w:val="en-US" w:eastAsia="zh-CN"/>
              </w:rPr>
              <w:t>软件</w:t>
            </w:r>
            <w:r>
              <w:rPr>
                <w:rFonts w:hint="eastAsia" w:ascii="宋体" w:hAnsi="宋体" w:eastAsia="宋体" w:cs="宋体"/>
                <w:sz w:val="22"/>
                <w:szCs w:val="22"/>
                <w:lang w:val="en-US" w:eastAsia="zh-CN"/>
              </w:rPr>
              <w:t>的安装、调试。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48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交付地点</w:t>
            </w:r>
          </w:p>
        </w:tc>
        <w:tc>
          <w:tcPr>
            <w:tcW w:w="919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cs="宋体"/>
                <w:sz w:val="22"/>
                <w:szCs w:val="22"/>
                <w:lang w:val="en-US" w:eastAsia="zh-CN"/>
              </w:rPr>
              <w:t>遴选</w:t>
            </w:r>
            <w:r>
              <w:rPr>
                <w:rFonts w:hint="eastAsia" w:ascii="宋体" w:hAnsi="宋体" w:eastAsia="宋体" w:cs="宋体"/>
                <w:sz w:val="22"/>
                <w:szCs w:val="22"/>
                <w:lang w:val="en-US" w:eastAsia="zh-CN"/>
              </w:rPr>
              <w:t>人指定地点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48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验收标准</w:t>
            </w:r>
          </w:p>
        </w:tc>
        <w:tc>
          <w:tcPr>
            <w:tcW w:w="919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 验收组织</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验收工作应在遴选人与入围供应商双方共同参加下进行。入围供应商应派代表到场配合验收，双方代表应在验收记录上签字确认。</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 验收依据与程序</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验收应严格按照国家相关法律法规、行业标准、遴选文件及入围供应商响应文件中的承诺、合同约定进行。验收内容包括但不限于：软件功能的完整性、运行稳定性、技术参数的符合性及文档资料的齐全性。</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 验收不合格处理</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验收时如发现所交付的软件无法正常运行、功能缺失或存在其他不符合合同要求的情形，遴选人应做出详尽的现场记录（包括文字描述、截图、日志文件等），或由双方共同签署《验收备忘录》，明确问题清单及整改要求。</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 费用承担与整改要求</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因上述问题产生的整改费用、返工费用、检测费用及其他相关损失，全部由入围供应商承担。入围供应商应在双方商定的期限内完成整改，直至再次验收合格。如整改后仍不合格，遴选人有权按合同约定追究违约责任，包括但不限于解除合同、要求赔偿损失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9" w:hRule="atLeast"/>
        </w:trPr>
        <w:tc>
          <w:tcPr>
            <w:tcW w:w="148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售后服务</w:t>
            </w:r>
          </w:p>
        </w:tc>
        <w:tc>
          <w:tcPr>
            <w:tcW w:w="919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w:t>
            </w:r>
            <w:r>
              <w:rPr>
                <w:rFonts w:hint="eastAsia" w:ascii="宋体" w:hAnsi="宋体" w:cs="宋体"/>
                <w:sz w:val="22"/>
                <w:szCs w:val="22"/>
                <w:lang w:val="en-US" w:eastAsia="zh-CN"/>
              </w:rPr>
              <w:t>入围供应商</w:t>
            </w:r>
            <w:r>
              <w:rPr>
                <w:rFonts w:hint="eastAsia" w:ascii="宋体" w:hAnsi="宋体" w:eastAsia="宋体" w:cs="宋体"/>
                <w:sz w:val="22"/>
                <w:szCs w:val="22"/>
                <w:lang w:val="en-US" w:eastAsia="zh-CN"/>
              </w:rPr>
              <w:t>保证本合同中所供应的商品是最新生产的符合国家技术规格和质量标准的出厂原装合格产品。如发生所供商品与合同不符，</w:t>
            </w:r>
            <w:r>
              <w:rPr>
                <w:rFonts w:hint="eastAsia" w:ascii="宋体" w:hAnsi="宋体" w:cs="宋体"/>
                <w:sz w:val="22"/>
                <w:szCs w:val="22"/>
                <w:lang w:val="en-US" w:eastAsia="zh-CN"/>
              </w:rPr>
              <w:t>遴选</w:t>
            </w:r>
            <w:r>
              <w:rPr>
                <w:rFonts w:hint="eastAsia" w:ascii="宋体" w:hAnsi="宋体" w:eastAsia="宋体" w:cs="宋体"/>
                <w:sz w:val="22"/>
                <w:szCs w:val="22"/>
                <w:lang w:val="en-US" w:eastAsia="zh-CN"/>
              </w:rPr>
              <w:t>人有权拒收或退货，由此产生的一切责任和后果由</w:t>
            </w:r>
            <w:r>
              <w:rPr>
                <w:rFonts w:hint="eastAsia" w:ascii="宋体" w:hAnsi="宋体" w:cs="宋体"/>
                <w:sz w:val="22"/>
                <w:szCs w:val="22"/>
                <w:lang w:val="en-US" w:eastAsia="zh-CN"/>
              </w:rPr>
              <w:t>入围供应商</w:t>
            </w:r>
            <w:r>
              <w:rPr>
                <w:rFonts w:hint="eastAsia" w:ascii="宋体" w:hAnsi="宋体" w:eastAsia="宋体" w:cs="宋体"/>
                <w:sz w:val="22"/>
                <w:szCs w:val="22"/>
                <w:lang w:val="en-US" w:eastAsia="zh-CN"/>
              </w:rPr>
              <w:t>承担。</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w:t>
            </w:r>
            <w:r>
              <w:rPr>
                <w:rFonts w:hint="eastAsia" w:ascii="宋体" w:hAnsi="宋体" w:cs="宋体"/>
                <w:sz w:val="22"/>
                <w:szCs w:val="22"/>
                <w:lang w:val="en-US" w:eastAsia="zh-CN"/>
              </w:rPr>
              <w:t>维</w:t>
            </w:r>
            <w:r>
              <w:rPr>
                <w:rFonts w:hint="eastAsia" w:ascii="宋体" w:hAnsi="宋体" w:eastAsia="宋体" w:cs="宋体"/>
                <w:sz w:val="22"/>
                <w:szCs w:val="22"/>
                <w:lang w:val="en-US" w:eastAsia="zh-CN"/>
              </w:rPr>
              <w:t>保期内因不能排除的故障而影响工作的情况每发生一次，其</w:t>
            </w:r>
            <w:r>
              <w:rPr>
                <w:rFonts w:hint="eastAsia" w:ascii="宋体" w:hAnsi="宋体" w:cs="宋体"/>
                <w:sz w:val="22"/>
                <w:szCs w:val="22"/>
                <w:lang w:val="en-US" w:eastAsia="zh-CN"/>
              </w:rPr>
              <w:t>维</w:t>
            </w:r>
            <w:r>
              <w:rPr>
                <w:rFonts w:hint="eastAsia" w:ascii="宋体" w:hAnsi="宋体" w:eastAsia="宋体" w:cs="宋体"/>
                <w:sz w:val="22"/>
                <w:szCs w:val="22"/>
                <w:lang w:val="en-US" w:eastAsia="zh-CN"/>
              </w:rPr>
              <w:t>保期相应延长60天，</w:t>
            </w:r>
            <w:r>
              <w:rPr>
                <w:rFonts w:hint="eastAsia" w:ascii="宋体" w:hAnsi="宋体" w:cs="宋体"/>
                <w:sz w:val="22"/>
                <w:szCs w:val="22"/>
                <w:lang w:val="en-US" w:eastAsia="zh-CN"/>
              </w:rPr>
              <w:t>维保</w:t>
            </w:r>
            <w:r>
              <w:rPr>
                <w:rFonts w:hint="eastAsia" w:ascii="宋体" w:hAnsi="宋体" w:eastAsia="宋体" w:cs="宋体"/>
                <w:sz w:val="22"/>
                <w:szCs w:val="22"/>
                <w:lang w:val="en-US" w:eastAsia="zh-CN"/>
              </w:rPr>
              <w:t>期内因货物本身缺陷造成各种故障应由</w:t>
            </w:r>
            <w:r>
              <w:rPr>
                <w:rFonts w:hint="eastAsia" w:ascii="宋体" w:hAnsi="宋体" w:cs="宋体"/>
                <w:sz w:val="22"/>
                <w:szCs w:val="22"/>
                <w:lang w:val="en-US" w:eastAsia="zh-CN"/>
              </w:rPr>
              <w:t>入围供应商</w:t>
            </w:r>
            <w:r>
              <w:rPr>
                <w:rFonts w:hint="eastAsia" w:ascii="宋体" w:hAnsi="宋体" w:eastAsia="宋体" w:cs="宋体"/>
                <w:sz w:val="22"/>
                <w:szCs w:val="22"/>
                <w:lang w:val="en-US" w:eastAsia="zh-CN"/>
              </w:rPr>
              <w:t>免费予以技术服务和维修（如有必要可进行更换）。</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3.在</w:t>
            </w:r>
            <w:r>
              <w:rPr>
                <w:rFonts w:hint="eastAsia" w:ascii="宋体" w:hAnsi="宋体" w:cs="宋体"/>
                <w:sz w:val="22"/>
                <w:szCs w:val="22"/>
                <w:lang w:val="en-US" w:eastAsia="zh-CN"/>
              </w:rPr>
              <w:t>维保</w:t>
            </w:r>
            <w:r>
              <w:rPr>
                <w:rFonts w:hint="eastAsia" w:ascii="宋体" w:hAnsi="宋体" w:eastAsia="宋体" w:cs="宋体"/>
                <w:sz w:val="22"/>
                <w:szCs w:val="22"/>
                <w:lang w:val="en-US" w:eastAsia="zh-CN"/>
              </w:rPr>
              <w:t>期内，除人为损坏外，期间所产生的任何维护或维修的费用均由</w:t>
            </w:r>
            <w:r>
              <w:rPr>
                <w:rFonts w:hint="eastAsia" w:ascii="宋体" w:hAnsi="宋体" w:cs="宋体"/>
                <w:sz w:val="22"/>
                <w:szCs w:val="22"/>
                <w:lang w:val="en-US" w:eastAsia="zh-CN"/>
              </w:rPr>
              <w:t>入围供应商</w:t>
            </w:r>
            <w:r>
              <w:rPr>
                <w:rFonts w:hint="eastAsia" w:ascii="宋体" w:hAnsi="宋体" w:eastAsia="宋体" w:cs="宋体"/>
                <w:sz w:val="22"/>
                <w:szCs w:val="22"/>
                <w:lang w:val="en-US" w:eastAsia="zh-CN"/>
              </w:rPr>
              <w:t>承担。</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w:t>
            </w:r>
            <w:r>
              <w:rPr>
                <w:rFonts w:hint="eastAsia" w:ascii="宋体" w:hAnsi="宋体" w:cs="宋体"/>
                <w:sz w:val="22"/>
                <w:szCs w:val="22"/>
                <w:lang w:val="en-US" w:eastAsia="zh-CN"/>
              </w:rPr>
              <w:t>入围供应商</w:t>
            </w:r>
            <w:r>
              <w:rPr>
                <w:rFonts w:hint="eastAsia" w:ascii="宋体" w:hAnsi="宋体" w:eastAsia="宋体" w:cs="宋体"/>
                <w:sz w:val="22"/>
                <w:szCs w:val="22"/>
                <w:lang w:val="en-US" w:eastAsia="zh-CN"/>
              </w:rPr>
              <w:t>及时向</w:t>
            </w:r>
            <w:r>
              <w:rPr>
                <w:rFonts w:hint="eastAsia" w:ascii="宋体" w:hAnsi="宋体" w:cs="宋体"/>
                <w:sz w:val="22"/>
                <w:szCs w:val="22"/>
                <w:lang w:val="en-US" w:eastAsia="zh-CN"/>
              </w:rPr>
              <w:t>遴选</w:t>
            </w:r>
            <w:r>
              <w:rPr>
                <w:rFonts w:hint="eastAsia" w:ascii="宋体" w:hAnsi="宋体" w:eastAsia="宋体" w:cs="宋体"/>
                <w:sz w:val="22"/>
                <w:szCs w:val="22"/>
                <w:lang w:val="en-US" w:eastAsia="zh-CN"/>
              </w:rPr>
              <w:t>人提供本产品的升级换代信息，协助</w:t>
            </w:r>
            <w:r>
              <w:rPr>
                <w:rFonts w:hint="eastAsia" w:ascii="宋体" w:hAnsi="宋体" w:cs="宋体"/>
                <w:sz w:val="22"/>
                <w:szCs w:val="22"/>
                <w:lang w:val="en-US" w:eastAsia="zh-CN"/>
              </w:rPr>
              <w:t>遴选</w:t>
            </w:r>
            <w:r>
              <w:rPr>
                <w:rFonts w:hint="eastAsia" w:ascii="宋体" w:hAnsi="宋体" w:eastAsia="宋体" w:cs="宋体"/>
                <w:sz w:val="22"/>
                <w:szCs w:val="22"/>
                <w:lang w:val="en-US" w:eastAsia="zh-CN"/>
              </w:rPr>
              <w:t>人做好本设备的升级工作。</w:t>
            </w:r>
          </w:p>
          <w:p>
            <w:pPr>
              <w:spacing w:line="360" w:lineRule="auto"/>
              <w:rPr>
                <w:rFonts w:hint="eastAsia" w:ascii="宋体" w:hAnsi="宋体" w:eastAsia="宋体" w:cs="宋体"/>
                <w:sz w:val="22"/>
                <w:szCs w:val="22"/>
                <w:lang w:val="en-US" w:eastAsia="zh-CN"/>
              </w:rPr>
            </w:pPr>
            <w:r>
              <w:rPr>
                <w:rFonts w:hint="eastAsia" w:ascii="宋体" w:hAnsi="宋体" w:cs="宋体"/>
                <w:sz w:val="22"/>
                <w:szCs w:val="22"/>
                <w:lang w:val="en-US" w:eastAsia="zh-CN"/>
              </w:rPr>
              <w:t>5</w:t>
            </w:r>
            <w:r>
              <w:rPr>
                <w:rFonts w:hint="eastAsia" w:ascii="宋体" w:hAnsi="宋体" w:eastAsia="宋体" w:cs="宋体"/>
                <w:sz w:val="22"/>
                <w:szCs w:val="22"/>
                <w:lang w:val="en-US" w:eastAsia="zh-CN"/>
              </w:rPr>
              <w:t>. 服务响应与承诺</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在软件维保期内，入围供应商应提供 7×24小时系统维护服务，包括但不限于电话、远程及现场支持。</w:t>
            </w:r>
          </w:p>
          <w:p>
            <w:pPr>
              <w:spacing w:line="360" w:lineRule="auto"/>
              <w:rPr>
                <w:rFonts w:hint="eastAsia" w:ascii="宋体" w:hAnsi="宋体" w:eastAsia="宋体" w:cs="宋体"/>
                <w:sz w:val="22"/>
                <w:szCs w:val="22"/>
                <w:lang w:val="en-US" w:eastAsia="zh-CN"/>
              </w:rPr>
            </w:pPr>
            <w:r>
              <w:rPr>
                <w:rFonts w:hint="eastAsia" w:ascii="宋体" w:hAnsi="宋体" w:cs="宋体"/>
                <w:sz w:val="22"/>
                <w:szCs w:val="22"/>
                <w:lang w:val="en-US" w:eastAsia="zh-CN"/>
              </w:rPr>
              <w:t>6</w:t>
            </w:r>
            <w:r>
              <w:rPr>
                <w:rFonts w:hint="eastAsia" w:ascii="宋体" w:hAnsi="宋体" w:eastAsia="宋体" w:cs="宋体"/>
                <w:sz w:val="22"/>
                <w:szCs w:val="22"/>
                <w:lang w:val="en-US" w:eastAsia="zh-CN"/>
              </w:rPr>
              <w:t>. 故障响应与修复时限</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当系统发生故障时，入围供应商应在 1小时内响应，4小时内修复。若故障在 8小时内无法修复，入围供应商应 无偿提供临时替代方案（如备用许可、临时部署环境、应急操作流程等），确保遴选人业务不中断，不能因此影响遴选人的正常工作。</w:t>
            </w:r>
          </w:p>
          <w:p>
            <w:pPr>
              <w:spacing w:line="360" w:lineRule="auto"/>
              <w:rPr>
                <w:rFonts w:hint="eastAsia" w:ascii="宋体" w:hAnsi="宋体" w:eastAsia="宋体" w:cs="宋体"/>
                <w:sz w:val="22"/>
                <w:szCs w:val="22"/>
                <w:lang w:val="en-US" w:eastAsia="zh-CN"/>
              </w:rPr>
            </w:pPr>
            <w:r>
              <w:rPr>
                <w:rFonts w:hint="eastAsia" w:ascii="宋体" w:hAnsi="宋体" w:cs="宋体"/>
                <w:sz w:val="22"/>
                <w:szCs w:val="22"/>
                <w:lang w:val="en-US" w:eastAsia="zh-CN"/>
              </w:rPr>
              <w:t>7</w:t>
            </w:r>
            <w:r>
              <w:rPr>
                <w:rFonts w:hint="eastAsia" w:ascii="宋体" w:hAnsi="宋体" w:eastAsia="宋体" w:cs="宋体"/>
                <w:sz w:val="22"/>
                <w:szCs w:val="22"/>
                <w:lang w:val="en-US" w:eastAsia="zh-CN"/>
              </w:rPr>
              <w:t>. 替代方案要求</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所提供替代方案应能够有效恢复或保障主要业务功能正常运行，且应在故障修复完成前持续有效。替代方案涉及的全部费用由入围供应商承担。</w:t>
            </w:r>
          </w:p>
          <w:p>
            <w:pPr>
              <w:spacing w:line="360" w:lineRule="auto"/>
              <w:rPr>
                <w:rFonts w:hint="eastAsia" w:ascii="宋体" w:hAnsi="宋体" w:eastAsia="宋体" w:cs="宋体"/>
                <w:sz w:val="22"/>
                <w:szCs w:val="22"/>
                <w:lang w:val="en-US" w:eastAsia="zh-CN"/>
              </w:rPr>
            </w:pPr>
            <w:r>
              <w:rPr>
                <w:rFonts w:hint="eastAsia" w:ascii="宋体" w:hAnsi="宋体" w:cs="宋体"/>
                <w:sz w:val="22"/>
                <w:szCs w:val="22"/>
                <w:lang w:val="en-US" w:eastAsia="zh-CN"/>
              </w:rPr>
              <w:t>8</w:t>
            </w:r>
            <w:r>
              <w:rPr>
                <w:rFonts w:hint="eastAsia" w:ascii="宋体" w:hAnsi="宋体" w:eastAsia="宋体" w:cs="宋体"/>
                <w:sz w:val="22"/>
                <w:szCs w:val="22"/>
                <w:lang w:val="en-US" w:eastAsia="zh-CN"/>
              </w:rPr>
              <w:t>. 配套培训服务</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入围供应商应提供全面的配套培训服务，包括但不限于：</w:t>
            </w:r>
          </w:p>
          <w:p>
            <w:pPr>
              <w:spacing w:line="360" w:lineRule="auto"/>
              <w:rPr>
                <w:rFonts w:hint="eastAsia" w:ascii="宋体" w:hAnsi="宋体" w:eastAsia="宋体" w:cs="宋体"/>
                <w:sz w:val="22"/>
                <w:szCs w:val="22"/>
                <w:lang w:val="en-US" w:eastAsia="zh-CN"/>
              </w:rPr>
            </w:pPr>
            <w:r>
              <w:rPr>
                <w:rFonts w:hint="eastAsia" w:ascii="宋体" w:hAnsi="宋体" w:cs="宋体"/>
                <w:sz w:val="22"/>
                <w:szCs w:val="22"/>
                <w:lang w:val="en-US" w:eastAsia="zh-CN"/>
              </w:rPr>
              <w:t>（1）</w:t>
            </w:r>
            <w:r>
              <w:rPr>
                <w:rFonts w:hint="eastAsia" w:ascii="宋体" w:hAnsi="宋体" w:eastAsia="宋体" w:cs="宋体"/>
                <w:sz w:val="22"/>
                <w:szCs w:val="22"/>
                <w:lang w:val="en-US" w:eastAsia="zh-CN"/>
              </w:rPr>
              <w:t>系统操作培训：针对系统管理员、业务操作人员等不同角色，提供分层次、分岗位的操作培训，确保相关人员熟练掌握系统日常使用及管理维护。</w:t>
            </w:r>
          </w:p>
          <w:p>
            <w:pPr>
              <w:spacing w:line="360" w:lineRule="auto"/>
              <w:rPr>
                <w:rFonts w:hint="eastAsia" w:ascii="宋体" w:hAnsi="宋体" w:eastAsia="宋体" w:cs="宋体"/>
                <w:sz w:val="22"/>
                <w:szCs w:val="22"/>
                <w:lang w:val="en-US" w:eastAsia="zh-CN"/>
              </w:rPr>
            </w:pPr>
            <w:r>
              <w:rPr>
                <w:rFonts w:hint="eastAsia" w:ascii="宋体" w:hAnsi="宋体" w:cs="宋体"/>
                <w:sz w:val="22"/>
                <w:szCs w:val="22"/>
                <w:lang w:val="en-US" w:eastAsia="zh-CN"/>
              </w:rPr>
              <w:t>（2）</w:t>
            </w:r>
            <w:r>
              <w:rPr>
                <w:rFonts w:hint="eastAsia" w:ascii="宋体" w:hAnsi="宋体" w:eastAsia="宋体" w:cs="宋体"/>
                <w:sz w:val="22"/>
                <w:szCs w:val="22"/>
                <w:lang w:val="en-US" w:eastAsia="zh-CN"/>
              </w:rPr>
              <w:t>技术培训：对信息科或相关技术人员进行系统架构、部署、运维及常见故障处理等技术培训。</w:t>
            </w:r>
          </w:p>
          <w:p>
            <w:pPr>
              <w:spacing w:line="360" w:lineRule="auto"/>
              <w:rPr>
                <w:rFonts w:hint="eastAsia" w:ascii="宋体" w:hAnsi="宋体" w:eastAsia="宋体" w:cs="宋体"/>
                <w:sz w:val="22"/>
                <w:szCs w:val="22"/>
                <w:lang w:val="en-US" w:eastAsia="zh-CN"/>
              </w:rPr>
            </w:pPr>
            <w:r>
              <w:rPr>
                <w:rFonts w:hint="eastAsia" w:ascii="宋体" w:hAnsi="宋体" w:cs="宋体"/>
                <w:sz w:val="22"/>
                <w:szCs w:val="22"/>
                <w:lang w:val="en-US" w:eastAsia="zh-CN"/>
              </w:rPr>
              <w:t>（3）</w:t>
            </w:r>
            <w:r>
              <w:rPr>
                <w:rFonts w:hint="eastAsia" w:ascii="宋体" w:hAnsi="宋体" w:eastAsia="宋体" w:cs="宋体"/>
                <w:sz w:val="22"/>
                <w:szCs w:val="22"/>
                <w:lang w:val="en-US" w:eastAsia="zh-CN"/>
              </w:rPr>
              <w:t>培训资料：入围供应商应免费提供完整的培训教材、用户手册、操作视频等相关资料。</w:t>
            </w:r>
          </w:p>
          <w:p>
            <w:pPr>
              <w:spacing w:line="360" w:lineRule="auto"/>
              <w:rPr>
                <w:rFonts w:hint="eastAsia" w:ascii="宋体" w:hAnsi="宋体" w:eastAsia="宋体" w:cs="宋体"/>
                <w:sz w:val="22"/>
                <w:szCs w:val="22"/>
                <w:highlight w:val="none"/>
                <w:lang w:val="en-US" w:eastAsia="zh-CN"/>
              </w:rPr>
            </w:pPr>
            <w:r>
              <w:rPr>
                <w:rFonts w:hint="eastAsia" w:ascii="宋体" w:hAnsi="宋体" w:cs="宋体"/>
                <w:sz w:val="22"/>
                <w:szCs w:val="22"/>
                <w:lang w:val="en-US" w:eastAsia="zh-CN"/>
              </w:rPr>
              <w:t>（4）</w:t>
            </w:r>
            <w:r>
              <w:rPr>
                <w:rFonts w:hint="eastAsia" w:ascii="宋体" w:hAnsi="宋体" w:eastAsia="宋体" w:cs="宋体"/>
                <w:sz w:val="22"/>
                <w:szCs w:val="22"/>
                <w:lang w:val="en-US" w:eastAsia="zh-CN"/>
              </w:rPr>
              <w:t>培训</w:t>
            </w:r>
            <w:r>
              <w:rPr>
                <w:rFonts w:hint="eastAsia" w:ascii="宋体" w:hAnsi="宋体" w:cs="宋体"/>
                <w:sz w:val="22"/>
                <w:szCs w:val="22"/>
                <w:lang w:val="en-US" w:eastAsia="zh-CN"/>
              </w:rPr>
              <w:t>方式及</w:t>
            </w:r>
            <w:r>
              <w:rPr>
                <w:rFonts w:hint="eastAsia" w:ascii="宋体" w:hAnsi="宋体" w:eastAsia="宋体" w:cs="宋体"/>
                <w:sz w:val="22"/>
                <w:szCs w:val="22"/>
                <w:lang w:val="en-US" w:eastAsia="zh-CN"/>
              </w:rPr>
              <w:t>频次：系统上线初期应提供</w:t>
            </w:r>
            <w:r>
              <w:rPr>
                <w:rFonts w:hint="eastAsia" w:ascii="宋体" w:hAnsi="宋体" w:eastAsia="宋体" w:cs="宋体"/>
                <w:sz w:val="22"/>
                <w:szCs w:val="22"/>
                <w:highlight w:val="none"/>
                <w:lang w:val="en-US" w:eastAsia="zh-CN"/>
              </w:rPr>
              <w:t>不少于 [</w:t>
            </w:r>
            <w:r>
              <w:rPr>
                <w:rFonts w:hint="eastAsia" w:ascii="宋体" w:hAnsi="宋体" w:cs="宋体"/>
                <w:sz w:val="22"/>
                <w:szCs w:val="22"/>
                <w:highlight w:val="none"/>
                <w:lang w:val="en-US" w:eastAsia="zh-CN"/>
              </w:rPr>
              <w:t>20</w:t>
            </w:r>
            <w:r>
              <w:rPr>
                <w:rFonts w:hint="eastAsia" w:ascii="宋体" w:hAnsi="宋体" w:eastAsia="宋体" w:cs="宋体"/>
                <w:sz w:val="22"/>
                <w:szCs w:val="22"/>
                <w:highlight w:val="none"/>
                <w:lang w:val="en-US" w:eastAsia="zh-CN"/>
              </w:rPr>
              <w:t xml:space="preserve"> ] 次现场集中培训；后续每年应提供不少于 [</w:t>
            </w:r>
            <w:r>
              <w:rPr>
                <w:rFonts w:hint="eastAsia" w:ascii="宋体" w:hAnsi="宋体" w:cs="宋体"/>
                <w:sz w:val="22"/>
                <w:szCs w:val="22"/>
                <w:highlight w:val="none"/>
                <w:lang w:val="en-US" w:eastAsia="zh-CN"/>
              </w:rPr>
              <w:t>4</w:t>
            </w:r>
            <w:r>
              <w:rPr>
                <w:rFonts w:hint="eastAsia" w:ascii="宋体" w:hAnsi="宋体" w:eastAsia="宋体" w:cs="宋体"/>
                <w:sz w:val="22"/>
                <w:szCs w:val="22"/>
                <w:highlight w:val="none"/>
                <w:lang w:val="en-US" w:eastAsia="zh-CN"/>
              </w:rPr>
              <w:t xml:space="preserve"> ] 次复训或更新培训。</w:t>
            </w:r>
          </w:p>
          <w:p>
            <w:pPr>
              <w:spacing w:line="360" w:lineRule="auto"/>
              <w:rPr>
                <w:rFonts w:hint="eastAsia"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9</w:t>
            </w:r>
            <w:r>
              <w:rPr>
                <w:rFonts w:hint="eastAsia" w:ascii="宋体" w:hAnsi="宋体" w:eastAsia="宋体" w:cs="宋体"/>
                <w:sz w:val="22"/>
                <w:szCs w:val="22"/>
                <w:highlight w:val="none"/>
                <w:lang w:val="en-US" w:eastAsia="zh-CN"/>
              </w:rPr>
              <w:t>. 违约责任</w:t>
            </w:r>
          </w:p>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若因入围供应商未在规定时限内响应、修复或提供有效替代方案，导致遴选人业务中断或产生损失的，遴选人有权按合同约定追究入围供应商的违约责任，包括但不限于扣减服务费用、赔偿损失等。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04" w:hRule="atLeast"/>
        </w:trPr>
        <w:tc>
          <w:tcPr>
            <w:tcW w:w="1485" w:type="dxa"/>
            <w:tcBorders>
              <w:top w:val="single" w:color="000000" w:sz="8" w:space="0"/>
              <w:left w:val="single" w:color="000000" w:sz="8" w:space="0"/>
              <w:right w:val="single" w:color="000000" w:sz="8" w:space="0"/>
            </w:tcBorders>
            <w:shd w:val="clear" w:color="auto" w:fill="FFFFFF"/>
            <w:noWrap w:val="0"/>
            <w:vAlign w:val="center"/>
          </w:tcPr>
          <w:p>
            <w:pPr>
              <w:spacing w:line="360" w:lineRule="auto"/>
              <w:rPr>
                <w:rFonts w:hint="default" w:ascii="宋体" w:hAnsi="宋体" w:eastAsia="宋体" w:cs="宋体"/>
                <w:sz w:val="22"/>
                <w:szCs w:val="22"/>
                <w:lang w:val="en-US" w:eastAsia="zh-CN"/>
              </w:rPr>
            </w:pPr>
            <w:r>
              <w:rPr>
                <w:rFonts w:hint="eastAsia" w:ascii="宋体" w:hAnsi="宋体" w:cs="宋体"/>
                <w:sz w:val="22"/>
                <w:szCs w:val="22"/>
                <w:lang w:val="en-US" w:eastAsia="zh-CN"/>
              </w:rPr>
              <w:t>保密义务</w:t>
            </w:r>
          </w:p>
        </w:tc>
        <w:tc>
          <w:tcPr>
            <w:tcW w:w="919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360" w:lineRule="auto"/>
              <w:ind w:left="0" w:right="0" w:firstLine="0"/>
              <w:jc w:val="both"/>
              <w:rPr>
                <w:rFonts w:hint="eastAsia" w:ascii="宋体" w:hAnsi="宋体" w:eastAsia="宋体" w:cs="宋体"/>
                <w:sz w:val="22"/>
                <w:szCs w:val="22"/>
                <w:lang w:val="en-US" w:eastAsia="zh-CN"/>
              </w:rPr>
            </w:pPr>
            <w:r>
              <w:rPr>
                <w:rFonts w:hint="eastAsia" w:ascii="宋体" w:hAnsi="宋体" w:cs="宋体"/>
                <w:kern w:val="2"/>
                <w:sz w:val="22"/>
                <w:szCs w:val="22"/>
                <w:lang w:val="en-US" w:eastAsia="zh-CN" w:bidi="ar-SA"/>
              </w:rPr>
              <w:t>入</w:t>
            </w:r>
            <w:r>
              <w:rPr>
                <w:rFonts w:hint="eastAsia" w:ascii="宋体" w:hAnsi="宋体" w:eastAsia="宋体" w:cs="宋体"/>
                <w:kern w:val="2"/>
                <w:sz w:val="22"/>
                <w:szCs w:val="22"/>
                <w:lang w:val="en-US" w:eastAsia="zh-CN" w:bidi="ar-SA"/>
              </w:rPr>
              <w:t>围供应商应严格遵守以下要求。在项目设计、开发、实施、运维等过程中接触到的所有医院数据（含患者信息），仅限用于本项目，不得挪作他用，不得向任何第三方泄露。入围供应商须建立数据安全管理措施（如加密、访问控制等）。违反保密义务的，入围供应商承担由此造成的全部损失及法律责任。</w:t>
            </w:r>
          </w:p>
        </w:tc>
      </w:tr>
      <w:bookmarkEnd w:id="1"/>
    </w:tbl>
    <w:p>
      <w:pPr>
        <w:tabs>
          <w:tab w:val="left" w:pos="360"/>
        </w:tabs>
        <w:spacing w:line="460" w:lineRule="exact"/>
        <w:outlineLvl w:val="9"/>
        <w:rPr>
          <w:rFonts w:hint="eastAsia" w:ascii="宋体" w:hAnsi="宋体" w:eastAsia="宋体" w:cs="宋体"/>
          <w:b/>
          <w:sz w:val="22"/>
          <w:szCs w:val="22"/>
          <w:lang w:val="en-US" w:eastAsia="zh-CN"/>
        </w:rPr>
      </w:pPr>
    </w:p>
    <w:p>
      <w:pPr>
        <w:pStyle w:val="20"/>
        <w:rPr>
          <w:rFonts w:hint="eastAsia"/>
          <w:lang w:val="en-US" w:eastAsia="zh-CN"/>
        </w:rPr>
      </w:pPr>
    </w:p>
    <w:p>
      <w:pPr>
        <w:keepNext w:val="0"/>
        <w:keepLines w:val="0"/>
        <w:pageBreakBefore w:val="0"/>
        <w:kinsoku/>
        <w:wordWrap/>
        <w:topLinePunct w:val="0"/>
        <w:autoSpaceDE/>
        <w:autoSpaceDN/>
        <w:bidi w:val="0"/>
        <w:adjustRightInd/>
        <w:snapToGrid/>
        <w:spacing w:line="360" w:lineRule="auto"/>
        <w:rPr>
          <w:rFonts w:hint="eastAsia" w:ascii="宋体" w:hAnsi="宋体" w:eastAsia="宋体" w:cs="黑体"/>
          <w:b/>
          <w:bCs/>
          <w:sz w:val="28"/>
          <w:szCs w:val="28"/>
          <w:lang w:val="en-US" w:eastAsia="zh-CN"/>
        </w:rPr>
      </w:pPr>
      <w:bookmarkStart w:id="2" w:name="OLE_LINK2"/>
      <w:r>
        <w:rPr>
          <w:rFonts w:hint="eastAsia" w:ascii="宋体" w:hAnsi="宋体" w:eastAsia="宋体" w:cs="黑体"/>
          <w:b/>
          <w:bCs/>
          <w:kern w:val="2"/>
          <w:sz w:val="28"/>
          <w:szCs w:val="28"/>
          <w:lang w:val="en-US" w:eastAsia="zh-CN" w:bidi="ar-SA"/>
        </w:rPr>
        <w:t>六、</w:t>
      </w:r>
      <w:r>
        <w:rPr>
          <w:rFonts w:hint="eastAsia" w:ascii="宋体" w:hAnsi="宋体" w:eastAsia="宋体" w:cs="黑体"/>
          <w:b/>
          <w:bCs/>
          <w:sz w:val="28"/>
          <w:szCs w:val="28"/>
          <w:lang w:val="en-US" w:eastAsia="zh-CN"/>
        </w:rPr>
        <w:t>定标方法</w:t>
      </w:r>
    </w:p>
    <w:p>
      <w:pPr>
        <w:pStyle w:val="4"/>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1、组织院内开标会议，被遴选的</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供应商数量原则上不得少于三家，</w:t>
      </w:r>
      <w:r>
        <w:rPr>
          <w:rFonts w:hint="eastAsia" w:ascii="宋体" w:hAnsi="宋体" w:cs="宋体"/>
          <w:sz w:val="24"/>
          <w:szCs w:val="24"/>
          <w:lang w:val="en-US" w:eastAsia="zh-CN"/>
        </w:rPr>
        <w:t>遴选</w:t>
      </w:r>
      <w:r>
        <w:rPr>
          <w:rFonts w:hint="eastAsia" w:ascii="宋体" w:hAnsi="宋体" w:eastAsia="宋体" w:cs="宋体"/>
          <w:sz w:val="24"/>
          <w:szCs w:val="24"/>
          <w:lang w:val="en-US" w:eastAsia="zh-CN"/>
        </w:rPr>
        <w:t>过程中符合要求的</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供应商如果只有2家，现场</w:t>
      </w:r>
      <w:r>
        <w:rPr>
          <w:rFonts w:hint="eastAsia" w:ascii="宋体" w:hAnsi="宋体" w:cs="宋体"/>
          <w:sz w:val="24"/>
          <w:szCs w:val="24"/>
          <w:lang w:val="en-US" w:eastAsia="zh-CN"/>
        </w:rPr>
        <w:t>评审小组</w:t>
      </w:r>
      <w:r>
        <w:rPr>
          <w:rFonts w:hint="eastAsia" w:ascii="宋体" w:hAnsi="宋体" w:eastAsia="宋体" w:cs="宋体"/>
          <w:sz w:val="24"/>
          <w:szCs w:val="24"/>
          <w:lang w:val="en-US" w:eastAsia="zh-CN"/>
        </w:rPr>
        <w:t>论证同意后可以继续进行，要求</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供应商一次性报价；响应供应商不足 2 家的，终止遴选并重新组织，或经院方批准采用其它采购方式。</w:t>
      </w:r>
    </w:p>
    <w:p>
      <w:pPr>
        <w:pStyle w:val="4"/>
        <w:numPr>
          <w:ilvl w:val="0"/>
          <w:numId w:val="0"/>
        </w:numPr>
        <w:spacing w:line="360" w:lineRule="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、确定</w:t>
      </w:r>
      <w:r>
        <w:rPr>
          <w:rFonts w:hint="eastAsia" w:ascii="宋体" w:hAnsi="宋体" w:cs="宋体"/>
          <w:sz w:val="24"/>
          <w:szCs w:val="24"/>
          <w:lang w:val="en-US" w:eastAsia="zh-CN"/>
        </w:rPr>
        <w:t>入围</w:t>
      </w:r>
      <w:r>
        <w:rPr>
          <w:rFonts w:hint="eastAsia" w:ascii="宋体" w:hAnsi="宋体" w:eastAsia="宋体" w:cs="宋体"/>
          <w:sz w:val="24"/>
          <w:szCs w:val="24"/>
        </w:rPr>
        <w:t>候选人</w:t>
      </w:r>
    </w:p>
    <w:p>
      <w:pPr>
        <w:pStyle w:val="4"/>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.1由</w:t>
      </w:r>
      <w:r>
        <w:rPr>
          <w:rFonts w:hint="eastAsia" w:ascii="宋体" w:hAnsi="宋体" w:cs="宋体"/>
          <w:sz w:val="24"/>
          <w:szCs w:val="24"/>
          <w:lang w:val="en-US" w:eastAsia="zh-CN"/>
        </w:rPr>
        <w:t>评审小组</w:t>
      </w:r>
      <w:r>
        <w:rPr>
          <w:rFonts w:hint="eastAsia" w:ascii="宋体" w:hAnsi="宋体" w:eastAsia="宋体" w:cs="宋体"/>
          <w:sz w:val="24"/>
          <w:szCs w:val="24"/>
        </w:rPr>
        <w:t>确定</w:t>
      </w:r>
      <w:r>
        <w:rPr>
          <w:rFonts w:hint="eastAsia" w:ascii="宋体" w:hAnsi="宋体" w:cs="宋体"/>
          <w:sz w:val="24"/>
          <w:szCs w:val="24"/>
          <w:lang w:val="en-US" w:eastAsia="zh-CN"/>
        </w:rPr>
        <w:t>入围</w:t>
      </w:r>
      <w:r>
        <w:rPr>
          <w:rFonts w:hint="eastAsia" w:ascii="宋体" w:hAnsi="宋体" w:eastAsia="宋体" w:cs="宋体"/>
          <w:sz w:val="24"/>
          <w:szCs w:val="24"/>
        </w:rPr>
        <w:t>候选人。</w:t>
      </w:r>
    </w:p>
    <w:p>
      <w:pPr>
        <w:pStyle w:val="4"/>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.2</w:t>
      </w:r>
      <w:r>
        <w:rPr>
          <w:rFonts w:hint="eastAsia" w:ascii="宋体" w:hAnsi="宋体" w:cs="宋体"/>
          <w:sz w:val="24"/>
          <w:szCs w:val="24"/>
          <w:lang w:val="en-US" w:eastAsia="zh-CN"/>
        </w:rPr>
        <w:t>评审小组</w:t>
      </w:r>
      <w:r>
        <w:rPr>
          <w:rFonts w:hint="eastAsia" w:ascii="宋体" w:hAnsi="宋体" w:eastAsia="宋体" w:cs="宋体"/>
          <w:sz w:val="24"/>
          <w:szCs w:val="24"/>
        </w:rPr>
        <w:t>依据法律、法规及</w:t>
      </w:r>
      <w:r>
        <w:rPr>
          <w:rFonts w:hint="eastAsia" w:ascii="宋体" w:hAnsi="宋体" w:cs="宋体"/>
          <w:sz w:val="24"/>
          <w:szCs w:val="24"/>
          <w:lang w:val="en-US" w:eastAsia="zh-CN"/>
        </w:rPr>
        <w:t>遴选</w:t>
      </w:r>
      <w:r>
        <w:rPr>
          <w:rFonts w:hint="eastAsia" w:ascii="宋体" w:hAnsi="宋体" w:eastAsia="宋体" w:cs="宋体"/>
          <w:sz w:val="24"/>
          <w:szCs w:val="24"/>
        </w:rPr>
        <w:t>文件有关规定按评审后得分（即技术分与商务分之和）由高到低顺序排序，得分前二名的</w:t>
      </w:r>
      <w:r>
        <w:rPr>
          <w:rFonts w:hint="eastAsia" w:ascii="宋体" w:hAnsi="宋体" w:cs="宋体"/>
          <w:sz w:val="24"/>
          <w:szCs w:val="24"/>
          <w:lang w:val="en-US" w:eastAsia="zh-CN"/>
        </w:rPr>
        <w:t>响应供应商</w:t>
      </w:r>
      <w:r>
        <w:rPr>
          <w:rFonts w:hint="eastAsia" w:ascii="宋体" w:hAnsi="宋体" w:eastAsia="宋体" w:cs="宋体"/>
          <w:sz w:val="24"/>
          <w:szCs w:val="24"/>
        </w:rPr>
        <w:t>确定为该项目的第一和第二</w:t>
      </w:r>
      <w:r>
        <w:rPr>
          <w:rFonts w:hint="eastAsia" w:ascii="宋体" w:hAnsi="宋体" w:cs="宋体"/>
          <w:sz w:val="24"/>
          <w:szCs w:val="24"/>
          <w:lang w:val="en-US" w:eastAsia="zh-CN"/>
        </w:rPr>
        <w:t>入围</w:t>
      </w:r>
      <w:r>
        <w:rPr>
          <w:rFonts w:hint="eastAsia" w:ascii="宋体" w:hAnsi="宋体" w:eastAsia="宋体" w:cs="宋体"/>
          <w:sz w:val="24"/>
          <w:szCs w:val="24"/>
        </w:rPr>
        <w:t>标候选人（得分相同报价低的排序第一；得分且报价相同的，技术指标优的排序第一）向</w:t>
      </w:r>
      <w:r>
        <w:rPr>
          <w:rFonts w:hint="eastAsia" w:ascii="宋体" w:hAnsi="宋体" w:cs="宋体"/>
          <w:sz w:val="24"/>
          <w:szCs w:val="24"/>
          <w:lang w:val="en-US" w:eastAsia="zh-CN"/>
        </w:rPr>
        <w:t>遴选</w:t>
      </w:r>
      <w:r>
        <w:rPr>
          <w:rFonts w:hint="eastAsia" w:ascii="宋体" w:hAnsi="宋体" w:eastAsia="宋体" w:cs="宋体"/>
          <w:sz w:val="24"/>
          <w:szCs w:val="24"/>
        </w:rPr>
        <w:t>人推荐。</w:t>
      </w:r>
    </w:p>
    <w:p>
      <w:pPr>
        <w:pStyle w:val="4"/>
        <w:numPr>
          <w:ilvl w:val="0"/>
          <w:numId w:val="0"/>
        </w:numPr>
        <w:spacing w:line="360" w:lineRule="auto"/>
        <w:rPr>
          <w:rFonts w:hint="default"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rPr>
        <w:t>、确定</w:t>
      </w:r>
      <w:r>
        <w:rPr>
          <w:rFonts w:hint="eastAsia" w:ascii="宋体" w:hAnsi="宋体" w:cs="宋体"/>
          <w:sz w:val="24"/>
          <w:szCs w:val="24"/>
          <w:lang w:val="en-US" w:eastAsia="zh-CN"/>
        </w:rPr>
        <w:t>入围供应商</w:t>
      </w:r>
    </w:p>
    <w:p>
      <w:pPr>
        <w:pStyle w:val="4"/>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.1</w:t>
      </w:r>
      <w:r>
        <w:rPr>
          <w:rFonts w:hint="eastAsia" w:ascii="宋体" w:hAnsi="宋体" w:cs="宋体"/>
          <w:sz w:val="24"/>
          <w:szCs w:val="24"/>
          <w:lang w:val="en-US" w:eastAsia="zh-CN"/>
        </w:rPr>
        <w:t>遴选</w:t>
      </w:r>
      <w:r>
        <w:rPr>
          <w:rFonts w:hint="eastAsia" w:ascii="宋体" w:hAnsi="宋体" w:eastAsia="宋体" w:cs="宋体"/>
          <w:sz w:val="24"/>
          <w:szCs w:val="24"/>
        </w:rPr>
        <w:t>人按照评</w:t>
      </w:r>
      <w:r>
        <w:rPr>
          <w:rFonts w:hint="eastAsia" w:ascii="宋体" w:hAnsi="宋体" w:cs="宋体"/>
          <w:sz w:val="24"/>
          <w:szCs w:val="24"/>
          <w:lang w:val="en-US" w:eastAsia="zh-CN"/>
        </w:rPr>
        <w:t>审</w:t>
      </w:r>
      <w:r>
        <w:rPr>
          <w:rFonts w:hint="eastAsia" w:ascii="宋体" w:hAnsi="宋体" w:eastAsia="宋体" w:cs="宋体"/>
          <w:sz w:val="24"/>
          <w:szCs w:val="24"/>
        </w:rPr>
        <w:t>报告中推荐的</w:t>
      </w:r>
      <w:r>
        <w:rPr>
          <w:rFonts w:hint="eastAsia" w:ascii="宋体" w:hAnsi="宋体" w:cs="宋体"/>
          <w:sz w:val="24"/>
          <w:szCs w:val="24"/>
          <w:lang w:val="en-US" w:eastAsia="zh-CN"/>
        </w:rPr>
        <w:t>入围</w:t>
      </w:r>
      <w:r>
        <w:rPr>
          <w:rFonts w:hint="eastAsia" w:ascii="宋体" w:hAnsi="宋体" w:eastAsia="宋体" w:cs="宋体"/>
          <w:sz w:val="24"/>
          <w:szCs w:val="24"/>
        </w:rPr>
        <w:t>候选</w:t>
      </w:r>
      <w:r>
        <w:rPr>
          <w:rFonts w:hint="eastAsia" w:ascii="宋体" w:hAnsi="宋体" w:cs="宋体"/>
          <w:sz w:val="24"/>
          <w:szCs w:val="24"/>
          <w:lang w:val="en-US" w:eastAsia="zh-CN"/>
        </w:rPr>
        <w:t>人</w:t>
      </w:r>
      <w:r>
        <w:rPr>
          <w:rFonts w:hint="eastAsia" w:ascii="宋体" w:hAnsi="宋体" w:eastAsia="宋体" w:cs="宋体"/>
          <w:sz w:val="24"/>
          <w:szCs w:val="24"/>
        </w:rPr>
        <w:t>顺序确定</w:t>
      </w:r>
      <w:r>
        <w:rPr>
          <w:rFonts w:hint="eastAsia" w:ascii="宋体" w:hAnsi="宋体" w:cs="宋体"/>
          <w:sz w:val="24"/>
          <w:szCs w:val="24"/>
          <w:lang w:val="en-US" w:eastAsia="zh-CN"/>
        </w:rPr>
        <w:t>入围供应商</w:t>
      </w:r>
      <w:r>
        <w:rPr>
          <w:rFonts w:hint="eastAsia" w:ascii="宋体" w:hAnsi="宋体" w:eastAsia="宋体" w:cs="宋体"/>
          <w:sz w:val="24"/>
          <w:szCs w:val="24"/>
        </w:rPr>
        <w:t>；也可以事先授权</w:t>
      </w:r>
      <w:r>
        <w:rPr>
          <w:rFonts w:hint="eastAsia" w:ascii="宋体" w:hAnsi="宋体" w:cs="宋体"/>
          <w:sz w:val="24"/>
          <w:szCs w:val="24"/>
          <w:lang w:val="en-US" w:eastAsia="zh-CN"/>
        </w:rPr>
        <w:t>评审小组</w:t>
      </w:r>
      <w:r>
        <w:rPr>
          <w:rFonts w:hint="eastAsia" w:ascii="宋体" w:hAnsi="宋体" w:eastAsia="宋体" w:cs="宋体"/>
          <w:sz w:val="24"/>
          <w:szCs w:val="24"/>
        </w:rPr>
        <w:t>按照推荐的</w:t>
      </w:r>
      <w:r>
        <w:rPr>
          <w:rFonts w:hint="eastAsia" w:ascii="宋体" w:hAnsi="宋体" w:cs="宋体"/>
          <w:sz w:val="24"/>
          <w:szCs w:val="24"/>
          <w:lang w:val="en-US" w:eastAsia="zh-CN"/>
        </w:rPr>
        <w:t>入围</w:t>
      </w:r>
      <w:r>
        <w:rPr>
          <w:rFonts w:hint="eastAsia" w:ascii="宋体" w:hAnsi="宋体" w:eastAsia="宋体" w:cs="宋体"/>
          <w:sz w:val="24"/>
          <w:szCs w:val="24"/>
        </w:rPr>
        <w:t>候选</w:t>
      </w:r>
      <w:r>
        <w:rPr>
          <w:rFonts w:hint="eastAsia" w:ascii="宋体" w:hAnsi="宋体" w:cs="宋体"/>
          <w:sz w:val="24"/>
          <w:szCs w:val="24"/>
          <w:lang w:val="en-US" w:eastAsia="zh-CN"/>
        </w:rPr>
        <w:t>人</w:t>
      </w:r>
      <w:r>
        <w:rPr>
          <w:rFonts w:hint="eastAsia" w:ascii="宋体" w:hAnsi="宋体" w:eastAsia="宋体" w:cs="宋体"/>
          <w:sz w:val="24"/>
          <w:szCs w:val="24"/>
        </w:rPr>
        <w:t>顺序直接确定</w:t>
      </w:r>
      <w:r>
        <w:rPr>
          <w:rFonts w:hint="eastAsia" w:ascii="宋体" w:hAnsi="宋体" w:cs="宋体"/>
          <w:sz w:val="24"/>
          <w:szCs w:val="24"/>
          <w:lang w:val="en-US" w:eastAsia="zh-CN"/>
        </w:rPr>
        <w:t>入围供应商</w:t>
      </w:r>
      <w:r>
        <w:rPr>
          <w:rFonts w:hint="eastAsia" w:ascii="宋体" w:hAnsi="宋体" w:eastAsia="宋体" w:cs="宋体"/>
          <w:sz w:val="24"/>
          <w:szCs w:val="24"/>
        </w:rPr>
        <w:t>。</w:t>
      </w:r>
      <w:r>
        <w:rPr>
          <w:rFonts w:hint="eastAsia" w:ascii="宋体" w:hAnsi="宋体" w:cs="宋体"/>
          <w:sz w:val="24"/>
          <w:szCs w:val="24"/>
          <w:lang w:val="en-US" w:eastAsia="zh-CN"/>
        </w:rPr>
        <w:t>入围</w:t>
      </w:r>
      <w:r>
        <w:rPr>
          <w:rFonts w:hint="eastAsia" w:ascii="宋体" w:hAnsi="宋体" w:eastAsia="宋体" w:cs="宋体"/>
          <w:sz w:val="24"/>
          <w:szCs w:val="24"/>
        </w:rPr>
        <w:t>候选人并列的，采取随机抽取的方式确定。</w:t>
      </w:r>
    </w:p>
    <w:p>
      <w:pPr>
        <w:pStyle w:val="4"/>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.2如</w:t>
      </w:r>
      <w:r>
        <w:rPr>
          <w:rFonts w:hint="eastAsia" w:ascii="宋体" w:hAnsi="宋体" w:cs="宋体"/>
          <w:sz w:val="24"/>
          <w:szCs w:val="24"/>
          <w:lang w:val="en-US" w:eastAsia="zh-CN"/>
        </w:rPr>
        <w:t>入围供应商</w:t>
      </w:r>
      <w:r>
        <w:rPr>
          <w:rFonts w:hint="eastAsia" w:ascii="宋体" w:hAnsi="宋体" w:eastAsia="宋体" w:cs="宋体"/>
          <w:sz w:val="24"/>
          <w:szCs w:val="24"/>
        </w:rPr>
        <w:t>放弃</w:t>
      </w:r>
      <w:r>
        <w:rPr>
          <w:rFonts w:hint="eastAsia" w:ascii="宋体" w:hAnsi="宋体" w:cs="宋体"/>
          <w:sz w:val="24"/>
          <w:szCs w:val="24"/>
          <w:lang w:val="en-US" w:eastAsia="zh-CN"/>
        </w:rPr>
        <w:t>入围</w:t>
      </w:r>
      <w:r>
        <w:rPr>
          <w:rFonts w:hint="eastAsia" w:ascii="宋体" w:hAnsi="宋体" w:eastAsia="宋体" w:cs="宋体"/>
          <w:sz w:val="24"/>
          <w:szCs w:val="24"/>
        </w:rPr>
        <w:t>、或未能在规定时间内与</w:t>
      </w:r>
      <w:r>
        <w:rPr>
          <w:rFonts w:hint="eastAsia" w:ascii="宋体" w:hAnsi="宋体" w:cs="宋体"/>
          <w:sz w:val="24"/>
          <w:szCs w:val="24"/>
          <w:lang w:val="en-US" w:eastAsia="zh-CN"/>
        </w:rPr>
        <w:t>遴选</w:t>
      </w:r>
      <w:r>
        <w:rPr>
          <w:rFonts w:hint="eastAsia" w:ascii="宋体" w:hAnsi="宋体" w:eastAsia="宋体" w:cs="宋体"/>
          <w:sz w:val="24"/>
          <w:szCs w:val="24"/>
        </w:rPr>
        <w:t>单位签订合同的；或者经质疑，</w:t>
      </w:r>
      <w:r>
        <w:rPr>
          <w:rFonts w:hint="eastAsia" w:ascii="宋体" w:hAnsi="宋体" w:cs="宋体"/>
          <w:sz w:val="24"/>
          <w:szCs w:val="24"/>
          <w:lang w:val="en-US" w:eastAsia="zh-CN"/>
        </w:rPr>
        <w:t>遴选</w:t>
      </w:r>
      <w:r>
        <w:rPr>
          <w:rFonts w:hint="eastAsia" w:ascii="宋体" w:hAnsi="宋体" w:eastAsia="宋体" w:cs="宋体"/>
          <w:sz w:val="24"/>
          <w:szCs w:val="24"/>
        </w:rPr>
        <w:t>人审查后，确因排名第一的候选人在本次</w:t>
      </w:r>
      <w:r>
        <w:rPr>
          <w:rFonts w:hint="eastAsia" w:ascii="宋体" w:hAnsi="宋体" w:cs="宋体"/>
          <w:sz w:val="24"/>
          <w:szCs w:val="24"/>
          <w:lang w:val="en-US" w:eastAsia="zh-CN"/>
        </w:rPr>
        <w:t>遴选</w:t>
      </w:r>
      <w:r>
        <w:rPr>
          <w:rFonts w:hint="eastAsia" w:ascii="宋体" w:hAnsi="宋体" w:eastAsia="宋体" w:cs="宋体"/>
          <w:sz w:val="24"/>
          <w:szCs w:val="24"/>
        </w:rPr>
        <w:t>活动中存在违法违规行为或其他原因使质疑成立的，</w:t>
      </w:r>
      <w:r>
        <w:rPr>
          <w:rFonts w:hint="eastAsia" w:ascii="宋体" w:hAnsi="宋体" w:cs="宋体"/>
          <w:sz w:val="24"/>
          <w:szCs w:val="24"/>
          <w:lang w:val="en-US" w:eastAsia="zh-CN"/>
        </w:rPr>
        <w:t>遴选</w:t>
      </w:r>
      <w:r>
        <w:rPr>
          <w:rFonts w:hint="eastAsia" w:ascii="宋体" w:hAnsi="宋体" w:eastAsia="宋体" w:cs="宋体"/>
          <w:sz w:val="24"/>
          <w:szCs w:val="24"/>
        </w:rPr>
        <w:t>人可以视情况直接确定排名第二的候选人为</w:t>
      </w:r>
      <w:r>
        <w:rPr>
          <w:rFonts w:hint="eastAsia" w:ascii="宋体" w:hAnsi="宋体" w:cs="宋体"/>
          <w:sz w:val="24"/>
          <w:szCs w:val="24"/>
          <w:lang w:val="en-US" w:eastAsia="zh-CN"/>
        </w:rPr>
        <w:t>入围供应商</w:t>
      </w:r>
      <w:r>
        <w:rPr>
          <w:rFonts w:hint="eastAsia" w:ascii="宋体" w:hAnsi="宋体" w:eastAsia="宋体" w:cs="宋体"/>
          <w:sz w:val="24"/>
          <w:szCs w:val="24"/>
        </w:rPr>
        <w:t>或重新组织</w:t>
      </w:r>
      <w:r>
        <w:rPr>
          <w:rFonts w:hint="eastAsia" w:ascii="宋体" w:hAnsi="宋体" w:cs="宋体"/>
          <w:sz w:val="24"/>
          <w:szCs w:val="24"/>
          <w:lang w:val="en-US" w:eastAsia="zh-CN"/>
        </w:rPr>
        <w:t>遴选</w:t>
      </w:r>
      <w:r>
        <w:rPr>
          <w:rFonts w:hint="eastAsia" w:ascii="宋体" w:hAnsi="宋体" w:eastAsia="宋体" w:cs="宋体"/>
          <w:sz w:val="24"/>
          <w:szCs w:val="24"/>
        </w:rPr>
        <w:t>。</w:t>
      </w:r>
    </w:p>
    <w:p>
      <w:pPr>
        <w:pStyle w:val="4"/>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入围供应商</w:t>
      </w:r>
      <w:r>
        <w:rPr>
          <w:rFonts w:hint="eastAsia" w:ascii="宋体" w:hAnsi="宋体" w:eastAsia="宋体" w:cs="宋体"/>
          <w:sz w:val="24"/>
          <w:szCs w:val="24"/>
        </w:rPr>
        <w:t>确定后，</w:t>
      </w:r>
      <w:r>
        <w:rPr>
          <w:rFonts w:hint="eastAsia" w:ascii="宋体" w:hAnsi="宋体" w:cs="宋体"/>
          <w:sz w:val="24"/>
          <w:szCs w:val="24"/>
          <w:lang w:val="en-US" w:eastAsia="zh-CN"/>
        </w:rPr>
        <w:t>遴选</w:t>
      </w:r>
      <w:r>
        <w:rPr>
          <w:rFonts w:hint="eastAsia" w:ascii="宋体" w:hAnsi="宋体" w:eastAsia="宋体" w:cs="宋体"/>
          <w:sz w:val="24"/>
          <w:szCs w:val="24"/>
        </w:rPr>
        <w:t>人将在温州市中医院官网公告</w:t>
      </w:r>
      <w:r>
        <w:rPr>
          <w:rFonts w:hint="eastAsia" w:ascii="宋体" w:hAnsi="宋体" w:cs="宋体"/>
          <w:sz w:val="24"/>
          <w:szCs w:val="24"/>
          <w:lang w:val="en-US" w:eastAsia="zh-CN"/>
        </w:rPr>
        <w:t>入围</w:t>
      </w:r>
      <w:r>
        <w:rPr>
          <w:rFonts w:hint="eastAsia" w:ascii="宋体" w:hAnsi="宋体" w:eastAsia="宋体" w:cs="宋体"/>
          <w:sz w:val="24"/>
          <w:szCs w:val="24"/>
        </w:rPr>
        <w:t>结果，</w:t>
      </w:r>
      <w:r>
        <w:rPr>
          <w:rFonts w:hint="eastAsia" w:ascii="宋体" w:hAnsi="宋体" w:cs="宋体"/>
          <w:sz w:val="24"/>
          <w:szCs w:val="24"/>
          <w:lang w:val="en-US" w:eastAsia="zh-CN"/>
        </w:rPr>
        <w:t>遴选</w:t>
      </w:r>
      <w:r>
        <w:rPr>
          <w:rFonts w:hint="eastAsia" w:ascii="宋体" w:hAnsi="宋体" w:eastAsia="宋体" w:cs="宋体"/>
          <w:sz w:val="24"/>
          <w:szCs w:val="24"/>
        </w:rPr>
        <w:t>人向</w:t>
      </w:r>
      <w:r>
        <w:rPr>
          <w:rFonts w:hint="eastAsia" w:ascii="宋体" w:hAnsi="宋体" w:cs="宋体"/>
          <w:sz w:val="24"/>
          <w:szCs w:val="24"/>
          <w:lang w:val="en-US" w:eastAsia="zh-CN"/>
        </w:rPr>
        <w:t>入围供应商</w:t>
      </w:r>
      <w:r>
        <w:rPr>
          <w:rFonts w:hint="eastAsia" w:ascii="宋体" w:hAnsi="宋体" w:eastAsia="宋体" w:cs="宋体"/>
          <w:sz w:val="24"/>
          <w:szCs w:val="24"/>
        </w:rPr>
        <w:t>发出</w:t>
      </w:r>
      <w:r>
        <w:rPr>
          <w:rFonts w:hint="eastAsia" w:ascii="宋体" w:hAnsi="宋体" w:cs="宋体"/>
          <w:sz w:val="24"/>
          <w:szCs w:val="24"/>
          <w:lang w:val="en-US" w:eastAsia="zh-CN"/>
        </w:rPr>
        <w:t>入围</w:t>
      </w:r>
      <w:r>
        <w:rPr>
          <w:rFonts w:hint="eastAsia" w:ascii="宋体" w:hAnsi="宋体" w:eastAsia="宋体" w:cs="宋体"/>
          <w:sz w:val="24"/>
          <w:szCs w:val="24"/>
        </w:rPr>
        <w:t>通知书。</w:t>
      </w:r>
      <w:r>
        <w:rPr>
          <w:rFonts w:hint="eastAsia" w:ascii="宋体" w:hAnsi="宋体" w:eastAsia="宋体" w:cs="宋体"/>
          <w:sz w:val="24"/>
          <w:szCs w:val="24"/>
        </w:rPr>
        <w:br w:type="textWrapping"/>
      </w:r>
    </w:p>
    <w:bookmarkEnd w:id="2"/>
    <w:p>
      <w:pPr>
        <w:numPr>
          <w:ilvl w:val="0"/>
          <w:numId w:val="0"/>
        </w:numPr>
        <w:rPr>
          <w:rFonts w:hint="eastAsia"/>
          <w:b/>
          <w:bCs/>
          <w:sz w:val="28"/>
          <w:szCs w:val="28"/>
        </w:rPr>
      </w:pPr>
      <w:r>
        <w:rPr>
          <w:rFonts w:hint="eastAsia"/>
          <w:b/>
          <w:bCs/>
          <w:sz w:val="28"/>
          <w:szCs w:val="28"/>
          <w:lang w:val="en-US" w:eastAsia="zh-CN"/>
        </w:rPr>
        <w:t>七</w:t>
      </w:r>
      <w:r>
        <w:rPr>
          <w:rFonts w:hint="eastAsia"/>
          <w:b/>
          <w:bCs/>
          <w:sz w:val="28"/>
          <w:szCs w:val="28"/>
        </w:rPr>
        <w:t>、评</w:t>
      </w:r>
      <w:r>
        <w:rPr>
          <w:rFonts w:hint="eastAsia"/>
          <w:b/>
          <w:bCs/>
          <w:sz w:val="28"/>
          <w:szCs w:val="28"/>
          <w:lang w:val="en-US" w:eastAsia="zh-CN"/>
        </w:rPr>
        <w:t>审</w:t>
      </w:r>
      <w:r>
        <w:rPr>
          <w:rFonts w:hint="eastAsia"/>
          <w:b/>
          <w:bCs/>
          <w:sz w:val="28"/>
          <w:szCs w:val="28"/>
        </w:rPr>
        <w:t>细则</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1、技术分的评定（</w:t>
      </w:r>
      <w:r>
        <w:rPr>
          <w:rFonts w:hint="eastAsia" w:ascii="宋体" w:hAnsi="宋体" w:cs="宋体"/>
          <w:sz w:val="24"/>
          <w:szCs w:val="24"/>
          <w:lang w:val="en-US" w:eastAsia="zh-CN"/>
        </w:rPr>
        <w:t>7</w:t>
      </w:r>
      <w:r>
        <w:rPr>
          <w:rFonts w:hint="eastAsia" w:ascii="宋体" w:hAnsi="宋体" w:eastAsia="宋体" w:cs="宋体"/>
          <w:sz w:val="24"/>
          <w:szCs w:val="24"/>
        </w:rPr>
        <w:t>0分)（权值</w:t>
      </w:r>
      <w:r>
        <w:rPr>
          <w:rFonts w:hint="eastAsia" w:ascii="宋体" w:hAnsi="宋体" w:cs="宋体"/>
          <w:sz w:val="24"/>
          <w:szCs w:val="24"/>
          <w:lang w:val="en-US" w:eastAsia="zh-CN"/>
        </w:rPr>
        <w:t>7</w:t>
      </w:r>
      <w:r>
        <w:rPr>
          <w:rFonts w:hint="eastAsia" w:ascii="宋体" w:hAnsi="宋体" w:eastAsia="宋体" w:cs="宋体"/>
          <w:sz w:val="24"/>
          <w:szCs w:val="24"/>
        </w:rPr>
        <w:t>0%）</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评审小组</w:t>
      </w:r>
      <w:r>
        <w:rPr>
          <w:rFonts w:hint="eastAsia" w:ascii="宋体" w:hAnsi="宋体" w:eastAsia="宋体" w:cs="宋体"/>
          <w:sz w:val="24"/>
          <w:szCs w:val="24"/>
        </w:rPr>
        <w:t>按下列评分项目进行评判，每人一张评分计算票，并记名。</w:t>
      </w:r>
      <w:r>
        <w:rPr>
          <w:rFonts w:hint="eastAsia" w:ascii="宋体" w:hAnsi="宋体" w:cs="宋体"/>
          <w:sz w:val="24"/>
          <w:szCs w:val="24"/>
          <w:lang w:val="en-US" w:eastAsia="zh-CN"/>
        </w:rPr>
        <w:t>响应</w:t>
      </w:r>
      <w:r>
        <w:rPr>
          <w:rFonts w:hint="eastAsia" w:ascii="宋体" w:hAnsi="宋体" w:eastAsia="宋体" w:cs="宋体"/>
          <w:sz w:val="24"/>
          <w:szCs w:val="24"/>
        </w:rPr>
        <w:t>文件各项评分内容由</w:t>
      </w:r>
      <w:r>
        <w:rPr>
          <w:rFonts w:hint="eastAsia" w:ascii="宋体" w:hAnsi="宋体" w:cs="宋体"/>
          <w:sz w:val="24"/>
          <w:szCs w:val="24"/>
          <w:lang w:val="en-US" w:eastAsia="zh-CN"/>
        </w:rPr>
        <w:t>评审小组</w:t>
      </w:r>
      <w:r>
        <w:rPr>
          <w:rFonts w:hint="eastAsia" w:ascii="宋体" w:hAnsi="宋体" w:eastAsia="宋体" w:cs="宋体"/>
          <w:sz w:val="24"/>
          <w:szCs w:val="24"/>
        </w:rPr>
        <w:t>成员各自评分，如某张票的一个因素项目超过规定的范围，则该张票无效。各</w:t>
      </w:r>
      <w:r>
        <w:rPr>
          <w:rFonts w:hint="eastAsia" w:ascii="宋体" w:hAnsi="宋体" w:cs="宋体"/>
          <w:sz w:val="24"/>
          <w:szCs w:val="24"/>
          <w:lang w:val="en-US" w:eastAsia="zh-CN"/>
        </w:rPr>
        <w:t>评审小组</w:t>
      </w:r>
      <w:r>
        <w:rPr>
          <w:rFonts w:hint="eastAsia" w:ascii="宋体" w:hAnsi="宋体" w:eastAsia="宋体" w:cs="宋体"/>
          <w:sz w:val="24"/>
          <w:szCs w:val="24"/>
        </w:rPr>
        <w:t>成员对各</w:t>
      </w:r>
      <w:r>
        <w:rPr>
          <w:rFonts w:hint="eastAsia" w:ascii="宋体" w:hAnsi="宋体" w:cs="宋体"/>
          <w:sz w:val="24"/>
          <w:szCs w:val="24"/>
          <w:lang w:val="en-US" w:eastAsia="zh-CN"/>
        </w:rPr>
        <w:t>响应供应商</w:t>
      </w:r>
      <w:r>
        <w:rPr>
          <w:rFonts w:hint="eastAsia" w:ascii="宋体" w:hAnsi="宋体" w:eastAsia="宋体" w:cs="宋体"/>
          <w:sz w:val="24"/>
          <w:szCs w:val="24"/>
        </w:rPr>
        <w:t>的各项评分内容评分的算术平均值为各</w:t>
      </w:r>
      <w:r>
        <w:rPr>
          <w:rFonts w:hint="eastAsia" w:ascii="宋体" w:hAnsi="宋体" w:cs="宋体"/>
          <w:sz w:val="24"/>
          <w:szCs w:val="24"/>
          <w:lang w:val="en-US" w:eastAsia="zh-CN"/>
        </w:rPr>
        <w:t>响应供应商</w:t>
      </w:r>
      <w:r>
        <w:rPr>
          <w:rFonts w:hint="eastAsia" w:ascii="宋体" w:hAnsi="宋体" w:eastAsia="宋体" w:cs="宋体"/>
          <w:sz w:val="24"/>
          <w:szCs w:val="24"/>
        </w:rPr>
        <w:t>技术分得分（小数点后按四舍五入保留2位）。</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2、商务</w:t>
      </w:r>
      <w:r>
        <w:rPr>
          <w:rFonts w:hint="eastAsia" w:ascii="宋体" w:hAnsi="宋体" w:cs="宋体"/>
          <w:sz w:val="24"/>
          <w:szCs w:val="24"/>
          <w:lang w:val="en-US" w:eastAsia="zh-CN"/>
        </w:rPr>
        <w:t>分的评定</w:t>
      </w:r>
      <w:r>
        <w:rPr>
          <w:rFonts w:hint="eastAsia" w:ascii="宋体" w:hAnsi="宋体" w:eastAsia="宋体" w:cs="宋体"/>
          <w:sz w:val="24"/>
          <w:szCs w:val="24"/>
        </w:rPr>
        <w:t>（报价）</w:t>
      </w:r>
      <w:r>
        <w:rPr>
          <w:rFonts w:hint="eastAsia" w:ascii="宋体" w:hAnsi="宋体" w:cs="宋体"/>
          <w:sz w:val="24"/>
          <w:szCs w:val="24"/>
          <w:lang w:val="en-US" w:eastAsia="zh-CN"/>
        </w:rPr>
        <w:t>3</w:t>
      </w:r>
      <w:r>
        <w:rPr>
          <w:rFonts w:hint="eastAsia" w:ascii="宋体" w:hAnsi="宋体" w:eastAsia="宋体" w:cs="宋体"/>
          <w:sz w:val="24"/>
          <w:szCs w:val="24"/>
        </w:rPr>
        <w:t>0分（权值</w:t>
      </w:r>
      <w:r>
        <w:rPr>
          <w:rFonts w:hint="eastAsia" w:ascii="宋体" w:hAnsi="宋体" w:cs="宋体"/>
          <w:sz w:val="24"/>
          <w:szCs w:val="24"/>
          <w:lang w:val="en-US" w:eastAsia="zh-CN"/>
        </w:rPr>
        <w:t>3</w:t>
      </w:r>
      <w:r>
        <w:rPr>
          <w:rFonts w:hint="eastAsia" w:ascii="宋体" w:hAnsi="宋体" w:eastAsia="宋体" w:cs="宋体"/>
          <w:sz w:val="24"/>
          <w:szCs w:val="24"/>
        </w:rPr>
        <w:t>0%）</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满足</w:t>
      </w:r>
      <w:r>
        <w:rPr>
          <w:rFonts w:hint="eastAsia" w:ascii="宋体" w:hAnsi="宋体" w:cs="宋体"/>
          <w:sz w:val="24"/>
          <w:szCs w:val="24"/>
          <w:lang w:val="en-US" w:eastAsia="zh-CN"/>
        </w:rPr>
        <w:t>遴选</w:t>
      </w:r>
      <w:r>
        <w:rPr>
          <w:rFonts w:hint="eastAsia" w:ascii="宋体" w:hAnsi="宋体" w:eastAsia="宋体" w:cs="宋体"/>
          <w:sz w:val="24"/>
          <w:szCs w:val="24"/>
        </w:rPr>
        <w:t>文件要求且报价最低的报价为评审基准价，其余</w:t>
      </w:r>
      <w:r>
        <w:rPr>
          <w:rFonts w:hint="eastAsia" w:ascii="宋体" w:hAnsi="宋体" w:cs="宋体"/>
          <w:sz w:val="24"/>
          <w:szCs w:val="24"/>
          <w:lang w:val="en-US" w:eastAsia="zh-CN"/>
        </w:rPr>
        <w:t>响应供应商</w:t>
      </w:r>
      <w:r>
        <w:rPr>
          <w:rFonts w:hint="eastAsia" w:ascii="宋体" w:hAnsi="宋体" w:eastAsia="宋体" w:cs="宋体"/>
          <w:sz w:val="24"/>
          <w:szCs w:val="24"/>
        </w:rPr>
        <w:t>报价与该基准价对比，计算出商务报价评分值（保留小数2位）：</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1）有效</w:t>
      </w:r>
      <w:r>
        <w:rPr>
          <w:rFonts w:hint="eastAsia" w:ascii="宋体" w:hAnsi="宋体" w:cs="宋体"/>
          <w:sz w:val="24"/>
          <w:szCs w:val="24"/>
          <w:lang w:val="en-US" w:eastAsia="zh-CN"/>
        </w:rPr>
        <w:t>响应供应商</w:t>
      </w:r>
      <w:r>
        <w:rPr>
          <w:rFonts w:hint="eastAsia" w:ascii="宋体" w:hAnsi="宋体" w:eastAsia="宋体" w:cs="宋体"/>
          <w:sz w:val="24"/>
          <w:szCs w:val="24"/>
        </w:rPr>
        <w:t>的报价等于评审基准价时其报价分为满分</w:t>
      </w:r>
      <w:r>
        <w:rPr>
          <w:rFonts w:hint="eastAsia" w:ascii="宋体" w:hAnsi="宋体" w:cs="宋体"/>
          <w:sz w:val="24"/>
          <w:szCs w:val="24"/>
          <w:lang w:val="en-US" w:eastAsia="zh-CN"/>
        </w:rPr>
        <w:t>3</w:t>
      </w:r>
      <w:r>
        <w:rPr>
          <w:rFonts w:hint="eastAsia" w:ascii="宋体" w:hAnsi="宋体" w:eastAsia="宋体" w:cs="宋体"/>
          <w:sz w:val="24"/>
          <w:szCs w:val="24"/>
        </w:rPr>
        <w:t>0分；</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2）其他</w:t>
      </w:r>
      <w:r>
        <w:rPr>
          <w:rFonts w:hint="eastAsia" w:ascii="宋体" w:hAnsi="宋体" w:cs="宋体"/>
          <w:sz w:val="24"/>
          <w:szCs w:val="24"/>
          <w:lang w:val="en-US" w:eastAsia="zh-CN"/>
        </w:rPr>
        <w:t>响应供应商</w:t>
      </w:r>
      <w:r>
        <w:rPr>
          <w:rFonts w:hint="eastAsia" w:ascii="宋体" w:hAnsi="宋体" w:eastAsia="宋体" w:cs="宋体"/>
          <w:sz w:val="24"/>
          <w:szCs w:val="24"/>
        </w:rPr>
        <w:t>的价格分按以下公式计算：</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报价得分=（评</w:t>
      </w:r>
      <w:r>
        <w:rPr>
          <w:rFonts w:hint="eastAsia" w:ascii="宋体" w:hAnsi="宋体" w:cs="宋体"/>
          <w:sz w:val="24"/>
          <w:szCs w:val="24"/>
          <w:lang w:val="en-US" w:eastAsia="zh-CN"/>
        </w:rPr>
        <w:t>审</w:t>
      </w:r>
      <w:r>
        <w:rPr>
          <w:rFonts w:hint="eastAsia" w:ascii="宋体" w:hAnsi="宋体" w:eastAsia="宋体" w:cs="宋体"/>
          <w:sz w:val="24"/>
          <w:szCs w:val="24"/>
        </w:rPr>
        <w:t>基准价/</w:t>
      </w:r>
      <w:r>
        <w:rPr>
          <w:rFonts w:hint="eastAsia" w:ascii="宋体" w:hAnsi="宋体" w:cs="宋体"/>
          <w:sz w:val="24"/>
          <w:szCs w:val="24"/>
          <w:lang w:val="en-US" w:eastAsia="zh-CN"/>
        </w:rPr>
        <w:t>响应供应商</w:t>
      </w:r>
      <w:r>
        <w:rPr>
          <w:rFonts w:hint="eastAsia" w:ascii="宋体" w:hAnsi="宋体" w:eastAsia="宋体" w:cs="宋体"/>
          <w:sz w:val="24"/>
          <w:szCs w:val="24"/>
        </w:rPr>
        <w:t>报价）× 价格权值 ×100（保留小数2位）</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3、有效</w:t>
      </w:r>
      <w:r>
        <w:rPr>
          <w:rFonts w:hint="eastAsia" w:ascii="宋体" w:hAnsi="宋体" w:cs="宋体"/>
          <w:sz w:val="24"/>
          <w:szCs w:val="24"/>
          <w:lang w:val="en-US" w:eastAsia="zh-CN"/>
        </w:rPr>
        <w:t>响应供应商</w:t>
      </w:r>
      <w:r>
        <w:rPr>
          <w:rFonts w:hint="eastAsia" w:ascii="宋体" w:hAnsi="宋体" w:eastAsia="宋体" w:cs="宋体"/>
          <w:sz w:val="24"/>
          <w:szCs w:val="24"/>
        </w:rPr>
        <w:t>的综合得分为技术分和商务（报价）分的总和。</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cs="宋体"/>
          <w:sz w:val="24"/>
          <w:szCs w:val="24"/>
          <w:lang w:val="en-US" w:eastAsia="zh-CN"/>
        </w:rPr>
        <w:t>评审小组</w:t>
      </w:r>
      <w:r>
        <w:rPr>
          <w:rFonts w:hint="eastAsia" w:ascii="宋体" w:hAnsi="宋体" w:eastAsia="宋体" w:cs="宋体"/>
          <w:sz w:val="24"/>
          <w:szCs w:val="24"/>
        </w:rPr>
        <w:t>认为</w:t>
      </w:r>
      <w:r>
        <w:rPr>
          <w:rFonts w:hint="eastAsia" w:ascii="宋体" w:hAnsi="宋体" w:cs="宋体"/>
          <w:sz w:val="24"/>
          <w:szCs w:val="24"/>
          <w:lang w:val="en-US" w:eastAsia="zh-CN"/>
        </w:rPr>
        <w:t>响应供应商</w:t>
      </w:r>
      <w:r>
        <w:rPr>
          <w:rFonts w:hint="eastAsia" w:ascii="宋体" w:hAnsi="宋体" w:eastAsia="宋体" w:cs="宋体"/>
          <w:sz w:val="24"/>
          <w:szCs w:val="24"/>
        </w:rPr>
        <w:t>的报价明显低于其他通过符合性审查</w:t>
      </w:r>
      <w:r>
        <w:rPr>
          <w:rFonts w:hint="eastAsia" w:ascii="宋体" w:hAnsi="宋体" w:cs="宋体"/>
          <w:sz w:val="24"/>
          <w:szCs w:val="24"/>
          <w:lang w:val="en-US" w:eastAsia="zh-CN"/>
        </w:rPr>
        <w:t>响应供应商</w:t>
      </w:r>
      <w:r>
        <w:rPr>
          <w:rFonts w:hint="eastAsia" w:ascii="宋体" w:hAnsi="宋体" w:eastAsia="宋体" w:cs="宋体"/>
          <w:sz w:val="24"/>
          <w:szCs w:val="24"/>
        </w:rPr>
        <w:t>的报价，有可能影响产品质量或者不能诚信履约的，应当要求其在</w:t>
      </w:r>
      <w:r>
        <w:rPr>
          <w:rFonts w:hint="eastAsia" w:ascii="宋体" w:hAnsi="宋体" w:cs="宋体"/>
          <w:sz w:val="24"/>
          <w:szCs w:val="24"/>
          <w:lang w:val="en-US" w:eastAsia="zh-CN"/>
        </w:rPr>
        <w:t>评审</w:t>
      </w:r>
      <w:r>
        <w:rPr>
          <w:rFonts w:hint="eastAsia" w:ascii="宋体" w:hAnsi="宋体" w:eastAsia="宋体" w:cs="宋体"/>
          <w:sz w:val="24"/>
          <w:szCs w:val="24"/>
        </w:rPr>
        <w:t>现场合理的时间内提供书面说明，必要时提交相关证明材料；</w:t>
      </w:r>
      <w:r>
        <w:rPr>
          <w:rFonts w:hint="eastAsia" w:ascii="宋体" w:hAnsi="宋体" w:cs="宋体"/>
          <w:sz w:val="24"/>
          <w:szCs w:val="24"/>
          <w:lang w:val="en-US" w:eastAsia="zh-CN"/>
        </w:rPr>
        <w:t>响应供应商</w:t>
      </w:r>
      <w:r>
        <w:rPr>
          <w:rFonts w:hint="eastAsia" w:ascii="宋体" w:hAnsi="宋体" w:eastAsia="宋体" w:cs="宋体"/>
          <w:sz w:val="24"/>
          <w:szCs w:val="24"/>
        </w:rPr>
        <w:t>不能证明其报价合理性的，</w:t>
      </w:r>
      <w:r>
        <w:rPr>
          <w:rFonts w:hint="eastAsia" w:ascii="宋体" w:hAnsi="宋体" w:cs="宋体"/>
          <w:sz w:val="24"/>
          <w:szCs w:val="24"/>
          <w:lang w:val="en-US" w:eastAsia="zh-CN"/>
        </w:rPr>
        <w:t>评审小组</w:t>
      </w:r>
      <w:r>
        <w:rPr>
          <w:rFonts w:hint="eastAsia" w:ascii="宋体" w:hAnsi="宋体" w:eastAsia="宋体" w:cs="宋体"/>
          <w:sz w:val="24"/>
          <w:szCs w:val="24"/>
        </w:rPr>
        <w:t>应当将其作为无效</w:t>
      </w:r>
      <w:r>
        <w:rPr>
          <w:rFonts w:hint="eastAsia" w:ascii="宋体" w:hAnsi="宋体" w:cs="宋体"/>
          <w:sz w:val="24"/>
          <w:szCs w:val="24"/>
          <w:lang w:val="en-US" w:eastAsia="zh-CN"/>
        </w:rPr>
        <w:t>响应</w:t>
      </w:r>
      <w:r>
        <w:rPr>
          <w:rFonts w:hint="eastAsia" w:ascii="宋体" w:hAnsi="宋体" w:eastAsia="宋体" w:cs="宋体"/>
          <w:sz w:val="24"/>
          <w:szCs w:val="24"/>
        </w:rPr>
        <w:t>处理。</w:t>
      </w:r>
    </w:p>
    <w:p>
      <w:pPr>
        <w:numPr>
          <w:ilvl w:val="0"/>
          <w:numId w:val="0"/>
        </w:numPr>
        <w:spacing w:line="360" w:lineRule="auto"/>
        <w:rPr>
          <w:rFonts w:hint="eastAsia" w:ascii="宋体" w:hAnsi="宋体" w:eastAsia="宋体" w:cs="宋体"/>
          <w:sz w:val="24"/>
          <w:szCs w:val="24"/>
        </w:rPr>
      </w:pPr>
    </w:p>
    <w:p>
      <w:pPr>
        <w:numPr>
          <w:ilvl w:val="0"/>
          <w:numId w:val="0"/>
        </w:numPr>
        <w:spacing w:line="360" w:lineRule="auto"/>
        <w:rPr>
          <w:rFonts w:hint="eastAsia" w:ascii="宋体" w:hAnsi="宋体" w:eastAsia="宋体" w:cs="宋体"/>
          <w:sz w:val="24"/>
          <w:szCs w:val="24"/>
        </w:rPr>
      </w:pPr>
    </w:p>
    <w:p>
      <w:pPr>
        <w:numPr>
          <w:ilvl w:val="0"/>
          <w:numId w:val="0"/>
        </w:numPr>
        <w:spacing w:line="360" w:lineRule="auto"/>
        <w:rPr>
          <w:rFonts w:hint="eastAsia" w:ascii="宋体" w:hAnsi="宋体" w:eastAsia="宋体" w:cs="宋体"/>
          <w:sz w:val="24"/>
          <w:szCs w:val="24"/>
        </w:rPr>
      </w:pPr>
    </w:p>
    <w:p>
      <w:pPr>
        <w:numPr>
          <w:ilvl w:val="0"/>
          <w:numId w:val="0"/>
        </w:numPr>
        <w:spacing w:line="360" w:lineRule="auto"/>
        <w:rPr>
          <w:rFonts w:hint="eastAsia" w:ascii="宋体" w:hAnsi="宋体" w:eastAsia="宋体" w:cs="宋体"/>
          <w:sz w:val="24"/>
          <w:szCs w:val="24"/>
        </w:rPr>
      </w:pPr>
    </w:p>
    <w:p>
      <w:pPr>
        <w:numPr>
          <w:ilvl w:val="0"/>
          <w:numId w:val="0"/>
        </w:numPr>
        <w:spacing w:line="360" w:lineRule="auto"/>
        <w:rPr>
          <w:rFonts w:hint="eastAsia" w:ascii="宋体" w:hAnsi="宋体" w:eastAsia="宋体" w:cs="宋体"/>
          <w:sz w:val="24"/>
          <w:szCs w:val="24"/>
        </w:rPr>
      </w:pPr>
    </w:p>
    <w:p>
      <w:pPr>
        <w:numPr>
          <w:ilvl w:val="0"/>
          <w:numId w:val="0"/>
        </w:numPr>
        <w:spacing w:line="360" w:lineRule="auto"/>
        <w:rPr>
          <w:rFonts w:hint="eastAsia" w:ascii="宋体" w:hAnsi="宋体" w:eastAsia="宋体" w:cs="宋体"/>
          <w:sz w:val="24"/>
          <w:szCs w:val="24"/>
        </w:rPr>
      </w:pPr>
    </w:p>
    <w:p>
      <w:pPr>
        <w:numPr>
          <w:ilvl w:val="0"/>
          <w:numId w:val="0"/>
        </w:numPr>
        <w:spacing w:line="360" w:lineRule="auto"/>
        <w:rPr>
          <w:rFonts w:hint="eastAsia" w:ascii="宋体" w:hAnsi="宋体" w:eastAsia="宋体" w:cs="宋体"/>
          <w:sz w:val="24"/>
          <w:szCs w:val="24"/>
        </w:rPr>
      </w:pPr>
    </w:p>
    <w:p>
      <w:pPr>
        <w:numPr>
          <w:ilvl w:val="0"/>
          <w:numId w:val="0"/>
        </w:numPr>
        <w:spacing w:line="360" w:lineRule="auto"/>
        <w:rPr>
          <w:rFonts w:hint="eastAsia" w:ascii="宋体" w:hAnsi="宋体" w:eastAsia="宋体" w:cs="宋体"/>
          <w:sz w:val="24"/>
          <w:szCs w:val="24"/>
        </w:rPr>
      </w:pPr>
    </w:p>
    <w:p>
      <w:pPr>
        <w:numPr>
          <w:ilvl w:val="0"/>
          <w:numId w:val="0"/>
        </w:numPr>
        <w:spacing w:line="360" w:lineRule="auto"/>
        <w:rPr>
          <w:rFonts w:hint="eastAsia" w:ascii="宋体" w:hAnsi="宋体" w:eastAsia="宋体" w:cs="宋体"/>
          <w:sz w:val="24"/>
          <w:szCs w:val="24"/>
        </w:rPr>
      </w:pPr>
    </w:p>
    <w:p>
      <w:pPr>
        <w:numPr>
          <w:ilvl w:val="0"/>
          <w:numId w:val="0"/>
        </w:numPr>
        <w:spacing w:line="360" w:lineRule="auto"/>
        <w:rPr>
          <w:rFonts w:hint="eastAsia" w:ascii="宋体" w:hAnsi="宋体" w:eastAsia="宋体" w:cs="宋体"/>
          <w:sz w:val="24"/>
          <w:szCs w:val="24"/>
        </w:rPr>
      </w:pPr>
    </w:p>
    <w:p>
      <w:pPr>
        <w:numPr>
          <w:ilvl w:val="0"/>
          <w:numId w:val="0"/>
        </w:numPr>
        <w:spacing w:line="360" w:lineRule="auto"/>
        <w:rPr>
          <w:rFonts w:hint="eastAsia" w:ascii="宋体" w:hAnsi="宋体" w:eastAsia="宋体" w:cs="宋体"/>
          <w:sz w:val="24"/>
          <w:szCs w:val="24"/>
        </w:rPr>
      </w:pPr>
    </w:p>
    <w:p>
      <w:pPr>
        <w:numPr>
          <w:ilvl w:val="0"/>
          <w:numId w:val="0"/>
        </w:numPr>
        <w:spacing w:line="360" w:lineRule="auto"/>
        <w:rPr>
          <w:rFonts w:hint="eastAsia" w:ascii="宋体" w:hAnsi="宋体" w:eastAsia="宋体" w:cs="宋体"/>
          <w:sz w:val="24"/>
          <w:szCs w:val="24"/>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pStyle w:val="2"/>
        <w:spacing w:line="360" w:lineRule="auto"/>
        <w:rPr>
          <w:rFonts w:hint="default" w:eastAsia="宋体"/>
          <w:sz w:val="28"/>
          <w:szCs w:val="28"/>
          <w:lang w:val="en-US" w:eastAsia="zh-CN"/>
        </w:rPr>
      </w:pPr>
      <w:r>
        <w:rPr>
          <w:rFonts w:hint="eastAsia"/>
          <w:sz w:val="28"/>
          <w:szCs w:val="28"/>
          <w:lang w:val="en-US" w:eastAsia="zh-CN"/>
        </w:rPr>
        <w:t>八、附件</w:t>
      </w:r>
    </w:p>
    <w:p>
      <w:pPr>
        <w:spacing w:line="360" w:lineRule="auto"/>
        <w:rPr>
          <w:rFonts w:hint="eastAsia" w:ascii="宋体" w:hAnsi="宋体"/>
          <w:b/>
          <w:sz w:val="22"/>
          <w:szCs w:val="22"/>
        </w:rPr>
      </w:pPr>
      <w:r>
        <w:rPr>
          <w:rFonts w:hint="eastAsia" w:ascii="宋体" w:hAnsi="宋体"/>
          <w:b/>
          <w:sz w:val="22"/>
          <w:szCs w:val="22"/>
          <w:lang w:val="en-US" w:eastAsia="zh-CN"/>
        </w:rPr>
        <w:t>1、</w:t>
      </w:r>
      <w:r>
        <w:rPr>
          <w:rFonts w:hint="eastAsia" w:ascii="宋体" w:hAnsi="宋体"/>
          <w:b/>
          <w:sz w:val="22"/>
          <w:szCs w:val="22"/>
        </w:rPr>
        <w:t>技术</w:t>
      </w:r>
      <w:r>
        <w:rPr>
          <w:rFonts w:hint="eastAsia" w:ascii="宋体" w:hAnsi="宋体"/>
          <w:b/>
          <w:sz w:val="22"/>
          <w:szCs w:val="22"/>
          <w:lang w:val="en-US" w:eastAsia="zh-CN"/>
        </w:rPr>
        <w:t>评分：满分7</w:t>
      </w:r>
      <w:r>
        <w:rPr>
          <w:rFonts w:hint="eastAsia" w:ascii="宋体" w:hAnsi="宋体"/>
          <w:b/>
          <w:sz w:val="22"/>
          <w:szCs w:val="22"/>
        </w:rPr>
        <w:t>0分</w:t>
      </w:r>
    </w:p>
    <w:tbl>
      <w:tblPr>
        <w:tblStyle w:val="16"/>
        <w:tblW w:w="5316" w:type="pct"/>
        <w:tblInd w:w="-5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583"/>
        <w:gridCol w:w="905"/>
        <w:gridCol w:w="6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403" w:type="pct"/>
            <w:noWrap w:val="0"/>
            <w:vAlign w:val="center"/>
          </w:tcPr>
          <w:p>
            <w:pPr>
              <w:pStyle w:val="31"/>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序号</w:t>
            </w:r>
          </w:p>
        </w:tc>
        <w:tc>
          <w:tcPr>
            <w:tcW w:w="771" w:type="pct"/>
            <w:noWrap w:val="0"/>
            <w:vAlign w:val="center"/>
          </w:tcPr>
          <w:p>
            <w:pPr>
              <w:pStyle w:val="27"/>
              <w:ind w:left="0" w:leftChars="0" w:firstLine="210" w:firstLineChars="10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评分项目</w:t>
            </w:r>
          </w:p>
        </w:tc>
        <w:tc>
          <w:tcPr>
            <w:tcW w:w="441" w:type="pct"/>
            <w:noWrap w:val="0"/>
            <w:vAlign w:val="center"/>
          </w:tcPr>
          <w:p>
            <w:pPr>
              <w:pStyle w:val="27"/>
              <w:ind w:left="0" w:leftChars="0" w:firstLine="210" w:firstLineChars="10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分值</w:t>
            </w:r>
          </w:p>
        </w:tc>
        <w:tc>
          <w:tcPr>
            <w:tcW w:w="3383" w:type="pct"/>
            <w:noWrap w:val="0"/>
            <w:vAlign w:val="center"/>
          </w:tcPr>
          <w:p>
            <w:pPr>
              <w:pStyle w:val="7"/>
              <w:numPr>
                <w:ilvl w:val="0"/>
                <w:numId w:val="0"/>
              </w:numPr>
              <w:snapToGrid w:val="0"/>
              <w:spacing w:before="0" w:beforeLines="0" w:after="0" w:afterLines="0" w:line="240" w:lineRule="auto"/>
              <w:ind w:left="0" w:leftChars="0" w:firstLine="0" w:firstLineChars="0"/>
              <w:jc w:val="center"/>
              <w:rPr>
                <w:rFonts w:hint="eastAsia" w:ascii="宋体" w:hAnsi="宋体" w:eastAsia="宋体" w:cs="宋体"/>
                <w:bCs/>
                <w:spacing w:val="-6"/>
                <w:sz w:val="21"/>
                <w:szCs w:val="21"/>
                <w:lang w:val="en-US" w:eastAsia="zh-CN"/>
              </w:rPr>
            </w:pPr>
            <w:r>
              <w:rPr>
                <w:rFonts w:hint="eastAsia" w:ascii="宋体" w:hAnsi="宋体" w:eastAsia="宋体" w:cs="宋体"/>
                <w:bCs/>
                <w:spacing w:val="-6"/>
                <w:sz w:val="21"/>
                <w:szCs w:val="21"/>
                <w:lang w:val="en-US" w:eastAsia="zh-CN"/>
              </w:rPr>
              <w:t>评分内容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403" w:type="pct"/>
            <w:noWrap w:val="0"/>
            <w:vAlign w:val="center"/>
          </w:tcPr>
          <w:p>
            <w:pPr>
              <w:pStyle w:val="31"/>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771" w:type="pct"/>
            <w:noWrap w:val="0"/>
            <w:vAlign w:val="center"/>
          </w:tcPr>
          <w:p>
            <w:pPr>
              <w:pStyle w:val="27"/>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kern w:val="0"/>
                <w:sz w:val="21"/>
                <w:szCs w:val="21"/>
                <w:lang w:val="en-US" w:eastAsia="zh-CN"/>
              </w:rPr>
              <w:t>产品功能</w:t>
            </w:r>
          </w:p>
        </w:tc>
        <w:tc>
          <w:tcPr>
            <w:tcW w:w="441" w:type="pct"/>
            <w:noWrap w:val="0"/>
            <w:vAlign w:val="center"/>
          </w:tcPr>
          <w:p>
            <w:pPr>
              <w:pStyle w:val="27"/>
              <w:ind w:left="0" w:leftChars="0" w:firstLine="0" w:firstLine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20</w:t>
            </w:r>
          </w:p>
        </w:tc>
        <w:tc>
          <w:tcPr>
            <w:tcW w:w="3383" w:type="pct"/>
            <w:noWrap w:val="0"/>
            <w:vAlign w:val="center"/>
          </w:tcPr>
          <w:p>
            <w:pPr>
              <w:pStyle w:val="7"/>
              <w:numPr>
                <w:ilvl w:val="0"/>
                <w:numId w:val="0"/>
              </w:numPr>
              <w:snapToGrid w:val="0"/>
              <w:spacing w:before="0" w:beforeLines="0" w:after="0" w:afterLines="0" w:line="240" w:lineRule="auto"/>
              <w:ind w:left="0" w:leftChars="0" w:firstLine="0" w:firstLineChars="0"/>
              <w:jc w:val="left"/>
              <w:rPr>
                <w:rFonts w:hint="eastAsia" w:ascii="宋体" w:hAnsi="宋体" w:eastAsia="宋体" w:cs="宋体"/>
                <w:sz w:val="21"/>
                <w:szCs w:val="21"/>
              </w:rPr>
            </w:pPr>
            <w:r>
              <w:rPr>
                <w:rFonts w:hint="eastAsia" w:ascii="宋体" w:hAnsi="宋体" w:cs="宋体"/>
                <w:bCs/>
                <w:spacing w:val="-6"/>
                <w:sz w:val="21"/>
                <w:szCs w:val="21"/>
                <w:lang w:val="en-US" w:eastAsia="zh-CN"/>
              </w:rPr>
              <w:t>响应供应商</w:t>
            </w:r>
            <w:r>
              <w:rPr>
                <w:rFonts w:hint="eastAsia" w:ascii="宋体" w:hAnsi="宋体" w:eastAsia="宋体" w:cs="宋体"/>
                <w:bCs/>
                <w:spacing w:val="-6"/>
                <w:sz w:val="21"/>
                <w:szCs w:val="21"/>
                <w:lang w:val="en-US" w:eastAsia="zh-CN"/>
              </w:rPr>
              <w:t>根据功能模块是否响应达标进行评分，★功能项不满足一项功能扣</w:t>
            </w:r>
            <w:r>
              <w:rPr>
                <w:rFonts w:hint="eastAsia" w:ascii="宋体" w:hAnsi="宋体" w:cs="宋体"/>
                <w:bCs/>
                <w:spacing w:val="-6"/>
                <w:sz w:val="21"/>
                <w:szCs w:val="21"/>
                <w:lang w:val="en-US" w:eastAsia="zh-CN"/>
              </w:rPr>
              <w:t>2</w:t>
            </w:r>
            <w:r>
              <w:rPr>
                <w:rFonts w:hint="eastAsia" w:ascii="宋体" w:hAnsi="宋体" w:eastAsia="宋体" w:cs="宋体"/>
                <w:bCs/>
                <w:spacing w:val="-6"/>
                <w:sz w:val="21"/>
                <w:szCs w:val="21"/>
                <w:lang w:val="en-US" w:eastAsia="zh-CN"/>
              </w:rPr>
              <w:t>分，非★功能项，不满足一项扣一分项扣完为止。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403" w:type="pct"/>
            <w:noWrap w:val="0"/>
            <w:vAlign w:val="center"/>
          </w:tcPr>
          <w:p>
            <w:pPr>
              <w:pStyle w:val="31"/>
              <w:ind w:left="42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771" w:type="pct"/>
            <w:noWrap w:val="0"/>
            <w:vAlign w:val="center"/>
          </w:tcPr>
          <w:p>
            <w:pPr>
              <w:pStyle w:val="27"/>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项目技术方案</w:t>
            </w:r>
          </w:p>
        </w:tc>
        <w:tc>
          <w:tcPr>
            <w:tcW w:w="441" w:type="pct"/>
            <w:noWrap w:val="0"/>
            <w:vAlign w:val="center"/>
          </w:tcPr>
          <w:p>
            <w:pPr>
              <w:pStyle w:val="27"/>
              <w:ind w:left="0" w:leftChars="0" w:firstLine="0" w:firstLine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3383" w:type="pct"/>
            <w:noWrap w:val="0"/>
            <w:vAlign w:val="center"/>
          </w:tcPr>
          <w:p>
            <w:pPr>
              <w:pStyle w:val="7"/>
              <w:numPr>
                <w:ilvl w:val="0"/>
                <w:numId w:val="0"/>
              </w:numPr>
              <w:snapToGrid w:val="0"/>
              <w:spacing w:before="0" w:beforeLines="0" w:after="0" w:afterLines="0" w:line="240" w:lineRule="auto"/>
              <w:ind w:left="0" w:leftChars="0" w:firstLine="0" w:firstLineChars="0"/>
              <w:jc w:val="left"/>
              <w:rPr>
                <w:rFonts w:hint="eastAsia" w:ascii="宋体" w:hAnsi="宋体" w:eastAsia="宋体" w:cs="宋体"/>
                <w:sz w:val="21"/>
                <w:szCs w:val="21"/>
              </w:rPr>
            </w:pPr>
            <w:r>
              <w:rPr>
                <w:rFonts w:hint="eastAsia" w:ascii="宋体" w:hAnsi="宋体" w:eastAsia="宋体" w:cs="宋体"/>
                <w:sz w:val="21"/>
                <w:szCs w:val="21"/>
              </w:rPr>
              <w:t>根据</w:t>
            </w:r>
            <w:r>
              <w:rPr>
                <w:rFonts w:hint="eastAsia" w:ascii="宋体" w:hAnsi="宋体" w:cs="宋体"/>
                <w:bCs/>
                <w:spacing w:val="-6"/>
                <w:sz w:val="21"/>
                <w:szCs w:val="21"/>
                <w:lang w:val="en-US" w:eastAsia="zh-CN"/>
              </w:rPr>
              <w:t>响应供应商</w:t>
            </w:r>
            <w:r>
              <w:rPr>
                <w:rFonts w:hint="eastAsia" w:ascii="宋体" w:hAnsi="宋体" w:eastAsia="宋体" w:cs="宋体"/>
                <w:sz w:val="21"/>
                <w:szCs w:val="21"/>
              </w:rPr>
              <w:t>提供的项目整体解决方案，从</w:t>
            </w:r>
            <w:r>
              <w:rPr>
                <w:rFonts w:hint="eastAsia" w:ascii="宋体" w:hAnsi="宋体" w:cs="宋体"/>
                <w:bCs/>
                <w:spacing w:val="-6"/>
                <w:sz w:val="21"/>
                <w:szCs w:val="21"/>
                <w:lang w:val="en-US" w:eastAsia="zh-CN"/>
              </w:rPr>
              <w:t>响应供应商</w:t>
            </w:r>
            <w:r>
              <w:rPr>
                <w:rFonts w:hint="eastAsia" w:ascii="宋体" w:hAnsi="宋体" w:eastAsia="宋体" w:cs="宋体"/>
                <w:sz w:val="21"/>
                <w:szCs w:val="21"/>
              </w:rPr>
              <w:t>对需求的理解以及总体设计全面性、整体技术和架构的先进性、开放性；整体方案是否可行并具备可落地性、可扩展性，安全性等角度</w:t>
            </w:r>
            <w:r>
              <w:rPr>
                <w:rFonts w:hint="eastAsia" w:ascii="宋体" w:hAnsi="宋体" w:eastAsia="宋体" w:cs="宋体"/>
                <w:color w:val="auto"/>
                <w:sz w:val="21"/>
                <w:szCs w:val="21"/>
              </w:rPr>
              <w:t>由专家进行打分。（评分范围：</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分，</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6分，4分，2分，</w:t>
            </w:r>
            <w:r>
              <w:rPr>
                <w:rFonts w:hint="eastAsia" w:ascii="宋体" w:hAnsi="宋体" w:eastAsia="宋体" w:cs="宋体"/>
                <w:color w:val="auto"/>
                <w:sz w:val="21"/>
                <w:szCs w:val="21"/>
              </w:rPr>
              <w:t>0分）</w:t>
            </w:r>
            <w:r>
              <w:rPr>
                <w:rFonts w:hint="eastAsia" w:ascii="宋体" w:hAnsi="宋体" w:eastAsia="宋体" w:cs="宋体"/>
                <w:bCs/>
                <w:color w:val="auto"/>
                <w:sz w:val="21"/>
                <w:szCs w:val="21"/>
              </w:rPr>
              <w:t>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403" w:type="pct"/>
            <w:noWrap w:val="0"/>
            <w:vAlign w:val="center"/>
          </w:tcPr>
          <w:p>
            <w:pPr>
              <w:pStyle w:val="31"/>
              <w:ind w:left="42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771" w:type="pct"/>
            <w:noWrap w:val="0"/>
            <w:vAlign w:val="center"/>
          </w:tcPr>
          <w:p>
            <w:pPr>
              <w:pStyle w:val="27"/>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安全管理方案</w:t>
            </w:r>
          </w:p>
        </w:tc>
        <w:tc>
          <w:tcPr>
            <w:tcW w:w="441" w:type="pct"/>
            <w:noWrap w:val="0"/>
            <w:vAlign w:val="center"/>
          </w:tcPr>
          <w:p>
            <w:pPr>
              <w:pStyle w:val="27"/>
              <w:ind w:left="0" w:leftChars="0" w:firstLine="0" w:firstLine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3383" w:type="pct"/>
            <w:noWrap w:val="0"/>
            <w:vAlign w:val="center"/>
          </w:tcPr>
          <w:p>
            <w:pPr>
              <w:widowControl/>
              <w:snapToGrid w:val="0"/>
              <w:spacing w:beforeLines="0" w:afterLines="0" w:line="240" w:lineRule="auto"/>
              <w:jc w:val="left"/>
              <w:textAlignment w:val="center"/>
              <w:rPr>
                <w:rFonts w:hint="eastAsia" w:ascii="宋体" w:hAnsi="宋体" w:eastAsia="宋体" w:cs="宋体"/>
                <w:sz w:val="21"/>
                <w:szCs w:val="21"/>
              </w:rPr>
            </w:pPr>
            <w:r>
              <w:rPr>
                <w:rFonts w:hint="eastAsia" w:ascii="宋体" w:hAnsi="宋体" w:cs="宋体"/>
                <w:bCs/>
                <w:spacing w:val="-6"/>
                <w:sz w:val="21"/>
                <w:szCs w:val="21"/>
                <w:lang w:val="en-US" w:eastAsia="zh-CN"/>
              </w:rPr>
              <w:t>响应供应商</w:t>
            </w:r>
            <w:r>
              <w:rPr>
                <w:rFonts w:hint="eastAsia" w:ascii="宋体" w:hAnsi="宋体" w:eastAsia="宋体" w:cs="宋体"/>
                <w:sz w:val="21"/>
                <w:szCs w:val="21"/>
              </w:rPr>
              <w:t>需提供信息系统安全管理方案，根据数据信息安全、数据存储及加密、系统性能、网络性能、风险实时预警及应对措施等内容</w:t>
            </w:r>
            <w:r>
              <w:rPr>
                <w:rFonts w:hint="eastAsia" w:ascii="宋体" w:hAnsi="宋体" w:eastAsia="宋体" w:cs="宋体"/>
                <w:color w:val="auto"/>
                <w:sz w:val="21"/>
                <w:szCs w:val="21"/>
              </w:rPr>
              <w:t>由专家进行打分。（评分范围：</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分，</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6分，4分，2分，</w:t>
            </w:r>
            <w:r>
              <w:rPr>
                <w:rFonts w:hint="eastAsia" w:ascii="宋体" w:hAnsi="宋体" w:eastAsia="宋体" w:cs="宋体"/>
                <w:color w:val="auto"/>
                <w:sz w:val="21"/>
                <w:szCs w:val="21"/>
              </w:rPr>
              <w:t>0分）</w:t>
            </w:r>
            <w:r>
              <w:rPr>
                <w:rFonts w:hint="eastAsia" w:ascii="宋体" w:hAnsi="宋体" w:eastAsia="宋体" w:cs="宋体"/>
                <w:bCs/>
                <w:color w:val="auto"/>
                <w:sz w:val="21"/>
                <w:szCs w:val="21"/>
              </w:rPr>
              <w:t>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trPr>
        <w:tc>
          <w:tcPr>
            <w:tcW w:w="403" w:type="pct"/>
            <w:noWrap w:val="0"/>
            <w:vAlign w:val="center"/>
          </w:tcPr>
          <w:p>
            <w:pPr>
              <w:pStyle w:val="31"/>
              <w:ind w:left="42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771" w:type="pct"/>
            <w:noWrap w:val="0"/>
            <w:vAlign w:val="center"/>
          </w:tcPr>
          <w:p>
            <w:pPr>
              <w:pStyle w:val="27"/>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软件</w:t>
            </w:r>
            <w:r>
              <w:rPr>
                <w:rFonts w:hint="eastAsia" w:ascii="宋体" w:hAnsi="宋体" w:eastAsia="宋体" w:cs="宋体"/>
                <w:sz w:val="21"/>
                <w:szCs w:val="21"/>
              </w:rPr>
              <w:t>实施方案</w:t>
            </w:r>
          </w:p>
        </w:tc>
        <w:tc>
          <w:tcPr>
            <w:tcW w:w="441" w:type="pct"/>
            <w:noWrap w:val="0"/>
            <w:vAlign w:val="center"/>
          </w:tcPr>
          <w:p>
            <w:pPr>
              <w:pStyle w:val="27"/>
              <w:ind w:left="0" w:leftChars="0" w:firstLine="0" w:firstLine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3383" w:type="pct"/>
            <w:noWrap w:val="0"/>
            <w:vAlign w:val="center"/>
          </w:tcPr>
          <w:p>
            <w:pPr>
              <w:widowControl/>
              <w:snapToGrid w:val="0"/>
              <w:spacing w:beforeLines="0" w:afterLines="0" w:line="240"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根据</w:t>
            </w:r>
            <w:r>
              <w:rPr>
                <w:rFonts w:hint="eastAsia" w:ascii="宋体" w:hAnsi="宋体" w:cs="宋体"/>
                <w:bCs/>
                <w:spacing w:val="-6"/>
                <w:sz w:val="21"/>
                <w:szCs w:val="21"/>
                <w:lang w:val="en-US" w:eastAsia="zh-CN"/>
              </w:rPr>
              <w:t>响应供应商</w:t>
            </w:r>
            <w:r>
              <w:rPr>
                <w:rFonts w:hint="eastAsia" w:ascii="宋体" w:hAnsi="宋体" w:eastAsia="宋体" w:cs="宋体"/>
                <w:sz w:val="21"/>
                <w:szCs w:val="21"/>
              </w:rPr>
              <w:t>针对本项目制定的软件系统的项目理解程度、项目进度安排、页面设计、系统功能描述、系统安装部署、测试验收等方案从科学性、可行性、稳定性</w:t>
            </w:r>
            <w:r>
              <w:rPr>
                <w:rFonts w:hint="eastAsia" w:ascii="宋体" w:hAnsi="宋体" w:cs="宋体"/>
                <w:sz w:val="21"/>
                <w:szCs w:val="21"/>
                <w:lang w:val="en-US" w:eastAsia="zh-CN"/>
              </w:rPr>
              <w:t>等方面</w:t>
            </w:r>
            <w:r>
              <w:rPr>
                <w:rFonts w:hint="eastAsia" w:ascii="宋体" w:hAnsi="宋体" w:eastAsia="宋体" w:cs="宋体"/>
                <w:color w:val="auto"/>
                <w:sz w:val="21"/>
                <w:szCs w:val="21"/>
              </w:rPr>
              <w:t>由专家进行打分。（评分范围：</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分，</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6分，4分，2分，</w:t>
            </w:r>
            <w:r>
              <w:rPr>
                <w:rFonts w:hint="eastAsia" w:ascii="宋体" w:hAnsi="宋体" w:eastAsia="宋体" w:cs="宋体"/>
                <w:color w:val="auto"/>
                <w:sz w:val="21"/>
                <w:szCs w:val="21"/>
              </w:rPr>
              <w:t>0分）</w:t>
            </w:r>
            <w:r>
              <w:rPr>
                <w:rFonts w:hint="eastAsia" w:ascii="宋体" w:hAnsi="宋体" w:eastAsia="宋体" w:cs="宋体"/>
                <w:bCs/>
                <w:color w:val="auto"/>
                <w:sz w:val="21"/>
                <w:szCs w:val="21"/>
              </w:rPr>
              <w:t>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403" w:type="pct"/>
            <w:noWrap w:val="0"/>
            <w:vAlign w:val="center"/>
          </w:tcPr>
          <w:p>
            <w:pPr>
              <w:pStyle w:val="31"/>
              <w:ind w:left="42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771" w:type="pct"/>
            <w:noWrap w:val="0"/>
            <w:vAlign w:val="center"/>
          </w:tcPr>
          <w:p>
            <w:pPr>
              <w:pStyle w:val="27"/>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培训方案</w:t>
            </w:r>
          </w:p>
        </w:tc>
        <w:tc>
          <w:tcPr>
            <w:tcW w:w="441" w:type="pct"/>
            <w:noWrap w:val="0"/>
            <w:vAlign w:val="center"/>
          </w:tcPr>
          <w:p>
            <w:pPr>
              <w:pStyle w:val="27"/>
              <w:ind w:left="0" w:leftChars="0" w:firstLine="0" w:firstLine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3383" w:type="pct"/>
            <w:noWrap w:val="0"/>
            <w:vAlign w:val="center"/>
          </w:tcPr>
          <w:p>
            <w:pPr>
              <w:widowControl/>
              <w:snapToGrid w:val="0"/>
              <w:spacing w:beforeLines="0" w:afterLines="0" w:line="240" w:lineRule="auto"/>
              <w:jc w:val="left"/>
              <w:textAlignment w:val="center"/>
              <w:rPr>
                <w:rFonts w:hint="eastAsia" w:ascii="宋体" w:hAnsi="宋体" w:eastAsia="宋体" w:cs="宋体"/>
                <w:sz w:val="21"/>
                <w:szCs w:val="21"/>
              </w:rPr>
            </w:pPr>
            <w:r>
              <w:rPr>
                <w:rFonts w:hint="eastAsia" w:ascii="宋体" w:hAnsi="宋体" w:cs="宋体"/>
                <w:bCs/>
                <w:spacing w:val="-6"/>
                <w:sz w:val="21"/>
                <w:szCs w:val="21"/>
                <w:lang w:val="en-US" w:eastAsia="zh-CN"/>
              </w:rPr>
              <w:t>响应供应商</w:t>
            </w:r>
            <w:r>
              <w:rPr>
                <w:rFonts w:hint="eastAsia" w:ascii="宋体" w:hAnsi="宋体" w:eastAsia="宋体" w:cs="宋体"/>
                <w:sz w:val="21"/>
                <w:szCs w:val="21"/>
              </w:rPr>
              <w:t>提供针对本项目的培训流程、培训方式、培训内容、培训日程等内容，根据方案的全面性、完整性、合理性、针对性等</w:t>
            </w:r>
            <w:r>
              <w:rPr>
                <w:rFonts w:hint="eastAsia" w:ascii="宋体" w:hAnsi="宋体" w:eastAsia="宋体" w:cs="宋体"/>
                <w:color w:val="auto"/>
                <w:sz w:val="21"/>
                <w:szCs w:val="21"/>
              </w:rPr>
              <w:t>由专家进行打分。（评分范围：</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分，</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6分，4分，2分，</w:t>
            </w:r>
            <w:r>
              <w:rPr>
                <w:rFonts w:hint="eastAsia" w:ascii="宋体" w:hAnsi="宋体" w:eastAsia="宋体" w:cs="宋体"/>
                <w:color w:val="auto"/>
                <w:sz w:val="21"/>
                <w:szCs w:val="21"/>
              </w:rPr>
              <w:t>0分）</w:t>
            </w:r>
            <w:r>
              <w:rPr>
                <w:rFonts w:hint="eastAsia" w:ascii="宋体" w:hAnsi="宋体" w:eastAsia="宋体" w:cs="宋体"/>
                <w:bCs/>
                <w:color w:val="auto"/>
                <w:sz w:val="21"/>
                <w:szCs w:val="21"/>
              </w:rPr>
              <w:t>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trPr>
        <w:tc>
          <w:tcPr>
            <w:tcW w:w="403" w:type="pct"/>
            <w:noWrap w:val="0"/>
            <w:vAlign w:val="center"/>
          </w:tcPr>
          <w:p>
            <w:pPr>
              <w:pStyle w:val="31"/>
              <w:ind w:left="42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771" w:type="pct"/>
            <w:noWrap w:val="0"/>
            <w:vAlign w:val="center"/>
          </w:tcPr>
          <w:p>
            <w:pPr>
              <w:pStyle w:val="27"/>
              <w:ind w:left="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售后服务能力</w:t>
            </w:r>
          </w:p>
        </w:tc>
        <w:tc>
          <w:tcPr>
            <w:tcW w:w="441" w:type="pct"/>
            <w:noWrap w:val="0"/>
            <w:vAlign w:val="center"/>
          </w:tcPr>
          <w:p>
            <w:pPr>
              <w:pStyle w:val="27"/>
              <w:ind w:left="0" w:leftChars="0" w:firstLine="0" w:firstLine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3383" w:type="pct"/>
            <w:noWrap w:val="0"/>
            <w:vAlign w:val="center"/>
          </w:tcPr>
          <w:p>
            <w:pPr>
              <w:snapToGrid w:val="0"/>
              <w:spacing w:beforeLines="0" w:afterLines="0" w:line="240" w:lineRule="auto"/>
              <w:rPr>
                <w:rFonts w:hint="eastAsia" w:ascii="宋体" w:hAnsi="宋体" w:eastAsia="宋体" w:cs="宋体"/>
                <w:sz w:val="21"/>
                <w:szCs w:val="21"/>
                <w:lang w:eastAsia="zh-CN"/>
              </w:rPr>
            </w:pPr>
            <w:r>
              <w:rPr>
                <w:rFonts w:hint="eastAsia" w:ascii="宋体" w:hAnsi="宋体" w:cs="宋体"/>
                <w:bCs/>
                <w:spacing w:val="-6"/>
                <w:sz w:val="21"/>
                <w:szCs w:val="21"/>
                <w:lang w:val="en-US" w:eastAsia="zh-CN"/>
              </w:rPr>
              <w:t>响应供应商</w:t>
            </w:r>
            <w:r>
              <w:rPr>
                <w:rFonts w:hint="eastAsia" w:ascii="宋体" w:hAnsi="宋体" w:eastAsia="宋体" w:cs="宋体"/>
                <w:sz w:val="21"/>
                <w:szCs w:val="21"/>
                <w:lang w:eastAsia="zh-CN"/>
              </w:rPr>
              <w:t>提供针对本项目的售后服务方案，包括但不限于售后服务形式、响应能力、运维服务的标准化、专业化水平、应急处理能力等，根据方案的全面性、完整性、合理性、针对性等</w:t>
            </w:r>
            <w:r>
              <w:rPr>
                <w:rFonts w:hint="eastAsia" w:ascii="宋体" w:hAnsi="宋体" w:eastAsia="宋体" w:cs="宋体"/>
                <w:color w:val="auto"/>
                <w:sz w:val="21"/>
                <w:szCs w:val="21"/>
              </w:rPr>
              <w:t>由专家进行打分。（评分范围：</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分，</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6分，4分，2分，</w:t>
            </w:r>
            <w:r>
              <w:rPr>
                <w:rFonts w:hint="eastAsia" w:ascii="宋体" w:hAnsi="宋体" w:eastAsia="宋体" w:cs="宋体"/>
                <w:color w:val="auto"/>
                <w:sz w:val="21"/>
                <w:szCs w:val="21"/>
              </w:rPr>
              <w:t>0分）</w:t>
            </w:r>
            <w:r>
              <w:rPr>
                <w:rFonts w:hint="eastAsia" w:ascii="宋体" w:hAnsi="宋体" w:eastAsia="宋体" w:cs="宋体"/>
                <w:bCs/>
                <w:color w:val="auto"/>
                <w:sz w:val="21"/>
                <w:szCs w:val="21"/>
              </w:rPr>
              <w:t>未提供不得分。</w:t>
            </w:r>
          </w:p>
        </w:tc>
      </w:tr>
    </w:tbl>
    <w:p>
      <w:pPr>
        <w:pStyle w:val="4"/>
        <w:ind w:left="0" w:leftChars="0" w:firstLine="0" w:firstLineChars="0"/>
        <w:rPr>
          <w:rFonts w:hint="eastAsia" w:ascii="宋体" w:hAnsi="宋体" w:eastAsia="宋体" w:cs="宋体"/>
          <w:b/>
          <w:bCs/>
          <w:sz w:val="22"/>
          <w:szCs w:val="22"/>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sz w:val="22"/>
          <w:szCs w:val="22"/>
        </w:rPr>
      </w:pPr>
      <w:r>
        <w:rPr>
          <w:rFonts w:hint="eastAsia" w:ascii="宋体" w:hAnsi="宋体" w:eastAsia="宋体" w:cs="宋体"/>
          <w:b/>
          <w:bCs/>
          <w:kern w:val="2"/>
          <w:sz w:val="22"/>
          <w:szCs w:val="22"/>
          <w:lang w:val="en-US" w:eastAsia="zh-CN" w:bidi="ar-SA"/>
        </w:rPr>
        <w:t>2、</w:t>
      </w:r>
      <w:r>
        <w:rPr>
          <w:rFonts w:hint="eastAsia" w:ascii="宋体" w:hAnsi="宋体" w:cs="宋体"/>
          <w:b/>
          <w:bCs/>
          <w:sz w:val="22"/>
          <w:szCs w:val="22"/>
          <w:lang w:val="en-US" w:eastAsia="zh-CN"/>
        </w:rPr>
        <w:t>商务</w:t>
      </w:r>
      <w:r>
        <w:rPr>
          <w:rFonts w:hint="eastAsia" w:ascii="宋体" w:hAnsi="宋体" w:eastAsia="宋体" w:cs="宋体"/>
          <w:b/>
          <w:bCs/>
          <w:sz w:val="22"/>
          <w:szCs w:val="22"/>
        </w:rPr>
        <w:t>评分：</w:t>
      </w:r>
      <w:r>
        <w:rPr>
          <w:rFonts w:hint="eastAsia" w:ascii="宋体" w:hAnsi="宋体" w:eastAsia="宋体" w:cs="宋体"/>
          <w:b/>
          <w:bCs/>
          <w:sz w:val="22"/>
          <w:szCs w:val="22"/>
          <w:lang w:val="en-US" w:eastAsia="zh-CN"/>
        </w:rPr>
        <w:t>满分</w:t>
      </w:r>
      <w:r>
        <w:rPr>
          <w:rFonts w:hint="eastAsia" w:ascii="宋体" w:hAnsi="宋体" w:cs="宋体"/>
          <w:b/>
          <w:bCs/>
          <w:sz w:val="22"/>
          <w:szCs w:val="22"/>
          <w:lang w:val="en-US" w:eastAsia="zh-CN"/>
        </w:rPr>
        <w:t>3</w:t>
      </w:r>
      <w:r>
        <w:rPr>
          <w:rFonts w:hint="eastAsia" w:ascii="宋体" w:hAnsi="宋体" w:eastAsia="宋体" w:cs="宋体"/>
          <w:b/>
          <w:bCs/>
          <w:sz w:val="22"/>
          <w:szCs w:val="22"/>
          <w:lang w:val="en-US" w:eastAsia="zh-CN"/>
        </w:rPr>
        <w:t>0</w:t>
      </w:r>
      <w:r>
        <w:rPr>
          <w:rFonts w:hint="eastAsia" w:ascii="宋体" w:hAnsi="宋体" w:eastAsia="宋体" w:cs="宋体"/>
          <w:b/>
          <w:bCs/>
          <w:sz w:val="22"/>
          <w:szCs w:val="22"/>
        </w:rPr>
        <w:t>分</w:t>
      </w:r>
    </w:p>
    <w:p>
      <w:pPr>
        <w:tabs>
          <w:tab w:val="left" w:pos="774"/>
        </w:tabs>
        <w:autoSpaceDE w:val="0"/>
        <w:autoSpaceDN w:val="0"/>
        <w:spacing w:before="240" w:line="276" w:lineRule="auto"/>
        <w:ind w:left="774" w:hanging="576"/>
        <w:jc w:val="center"/>
        <w:outlineLvl w:val="2"/>
        <w:rPr>
          <w:rFonts w:hint="eastAsia" w:ascii="宋体" w:hAnsi="宋体" w:eastAsia="宋体" w:cs="宋体"/>
          <w:b/>
          <w:color w:val="auto"/>
          <w:sz w:val="28"/>
          <w:szCs w:val="28"/>
          <w:highlight w:val="none"/>
          <w:lang w:val="zh-CN"/>
        </w:rPr>
      </w:pPr>
      <w:bookmarkStart w:id="3" w:name="_Toc8618"/>
      <w:bookmarkStart w:id="4" w:name="_Toc11964"/>
      <w:r>
        <w:rPr>
          <w:rFonts w:hint="eastAsia" w:ascii="宋体" w:hAnsi="宋体" w:eastAsia="宋体" w:cs="宋体"/>
          <w:b/>
          <w:color w:val="auto"/>
          <w:sz w:val="28"/>
          <w:szCs w:val="28"/>
          <w:highlight w:val="none"/>
          <w:lang w:val="zh-CN"/>
        </w:rPr>
        <w:t>报价一览表</w:t>
      </w:r>
      <w:bookmarkEnd w:id="3"/>
      <w:bookmarkEnd w:id="4"/>
    </w:p>
    <w:p>
      <w:pPr>
        <w:numPr>
          <w:ilvl w:val="0"/>
          <w:numId w:val="0"/>
        </w:numPr>
        <w:spacing w:line="300" w:lineRule="atLeast"/>
        <w:rPr>
          <w:rFonts w:hint="eastAsia" w:ascii="宋体" w:hAnsi="宋体" w:eastAsia="宋体" w:cs="宋体"/>
          <w:b w:val="0"/>
          <w:bCs w:val="0"/>
          <w:color w:val="auto"/>
          <w:sz w:val="22"/>
          <w:szCs w:val="18"/>
          <w:highlight w:val="none"/>
        </w:rPr>
      </w:pPr>
      <w:r>
        <w:rPr>
          <w:rFonts w:hint="eastAsia" w:ascii="宋体" w:hAnsi="宋体" w:eastAsia="宋体" w:cs="宋体"/>
          <w:b w:val="0"/>
          <w:bCs w:val="0"/>
          <w:color w:val="auto"/>
          <w:sz w:val="24"/>
          <w:szCs w:val="24"/>
          <w:highlight w:val="none"/>
        </w:rPr>
        <w:t xml:space="preserve"> </w:t>
      </w:r>
      <w:r>
        <w:rPr>
          <w:rFonts w:hint="eastAsia" w:ascii="宋体" w:hAnsi="宋体" w:eastAsia="宋体" w:cs="宋体"/>
          <w:b w:val="0"/>
          <w:bCs w:val="0"/>
          <w:color w:val="auto"/>
          <w:sz w:val="22"/>
          <w:szCs w:val="18"/>
          <w:highlight w:val="none"/>
        </w:rPr>
        <w:t xml:space="preserve">                            </w:t>
      </w:r>
    </w:p>
    <w:tbl>
      <w:tblPr>
        <w:tblStyle w:val="16"/>
        <w:tblW w:w="9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4"/>
        <w:gridCol w:w="3831"/>
        <w:gridCol w:w="3105"/>
        <w:gridCol w:w="1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244" w:type="dxa"/>
            <w:noWrap w:val="0"/>
            <w:vAlign w:val="center"/>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序号</w:t>
            </w:r>
          </w:p>
        </w:tc>
        <w:tc>
          <w:tcPr>
            <w:tcW w:w="3831" w:type="dxa"/>
            <w:noWrap w:val="0"/>
            <w:vAlign w:val="center"/>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bCs/>
                <w:color w:val="auto"/>
                <w:sz w:val="22"/>
                <w:szCs w:val="22"/>
                <w:highlight w:val="none"/>
              </w:rPr>
              <w:t>项目名称</w:t>
            </w:r>
          </w:p>
        </w:tc>
        <w:tc>
          <w:tcPr>
            <w:tcW w:w="3105" w:type="dxa"/>
            <w:noWrap w:val="0"/>
            <w:vAlign w:val="center"/>
          </w:tcPr>
          <w:p>
            <w:pPr>
              <w:spacing w:line="380" w:lineRule="exact"/>
              <w:jc w:val="center"/>
              <w:rPr>
                <w:rFonts w:hint="eastAsia" w:ascii="宋体" w:hAnsi="宋体" w:eastAsia="宋体" w:cs="宋体"/>
                <w:color w:val="auto"/>
                <w:sz w:val="22"/>
                <w:highlight w:val="none"/>
                <w:lang w:eastAsia="zh-CN"/>
              </w:rPr>
            </w:pPr>
            <w:r>
              <w:rPr>
                <w:rFonts w:hint="eastAsia" w:ascii="宋体" w:hAnsi="宋体" w:eastAsia="宋体" w:cs="宋体"/>
                <w:bCs/>
                <w:color w:val="auto"/>
                <w:sz w:val="22"/>
                <w:szCs w:val="22"/>
                <w:highlight w:val="none"/>
              </w:rPr>
              <w:t>报价</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lang w:val="en-US" w:eastAsia="zh-CN"/>
              </w:rPr>
              <w:t>人民币元</w:t>
            </w:r>
            <w:r>
              <w:rPr>
                <w:rFonts w:hint="eastAsia" w:ascii="宋体" w:hAnsi="宋体" w:eastAsia="宋体" w:cs="宋体"/>
                <w:bCs/>
                <w:color w:val="auto"/>
                <w:sz w:val="22"/>
                <w:szCs w:val="22"/>
                <w:highlight w:val="none"/>
                <w:lang w:eastAsia="zh-CN"/>
              </w:rPr>
              <w:t>）</w:t>
            </w:r>
          </w:p>
        </w:tc>
        <w:tc>
          <w:tcPr>
            <w:tcW w:w="1323" w:type="dxa"/>
            <w:noWrap w:val="0"/>
            <w:vAlign w:val="center"/>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244" w:type="dxa"/>
            <w:vMerge w:val="restart"/>
            <w:noWrap w:val="0"/>
            <w:vAlign w:val="center"/>
          </w:tcPr>
          <w:p>
            <w:pPr>
              <w:spacing w:line="380" w:lineRule="exact"/>
              <w:jc w:val="center"/>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w:t>
            </w:r>
          </w:p>
        </w:tc>
        <w:tc>
          <w:tcPr>
            <w:tcW w:w="3831" w:type="dxa"/>
            <w:vMerge w:val="restart"/>
            <w:noWrap w:val="0"/>
            <w:vAlign w:val="center"/>
          </w:tcPr>
          <w:p>
            <w:pPr>
              <w:numPr>
                <w:ilvl w:val="0"/>
                <w:numId w:val="0"/>
              </w:numPr>
              <w:spacing w:line="300" w:lineRule="atLeast"/>
              <w:rPr>
                <w:rFonts w:hint="eastAsia" w:ascii="宋体" w:hAnsi="宋体" w:eastAsia="宋体" w:cs="宋体"/>
                <w:b w:val="0"/>
                <w:bCs w:val="0"/>
                <w:color w:val="FF0000"/>
                <w:sz w:val="24"/>
                <w:szCs w:val="24"/>
                <w:lang w:val="en-US" w:eastAsia="zh-CN"/>
              </w:rPr>
            </w:pPr>
            <w:r>
              <w:rPr>
                <w:rFonts w:hint="eastAsia" w:ascii="宋体" w:hAnsi="宋体" w:eastAsia="宋体" w:cs="宋体"/>
                <w:b w:val="0"/>
                <w:bCs w:val="0"/>
                <w:sz w:val="24"/>
                <w:szCs w:val="24"/>
                <w:lang w:val="en-US" w:eastAsia="zh-Hans"/>
              </w:rPr>
              <w:t>医院财务数字处理自动化软件</w:t>
            </w:r>
            <w:r>
              <w:rPr>
                <w:rFonts w:hint="eastAsia" w:ascii="宋体" w:hAnsi="宋体" w:cs="宋体"/>
                <w:b w:val="0"/>
                <w:bCs w:val="0"/>
                <w:sz w:val="24"/>
                <w:szCs w:val="24"/>
                <w:lang w:val="en-US" w:eastAsia="zh-CN"/>
              </w:rPr>
              <w:t>采购</w:t>
            </w:r>
          </w:p>
          <w:p>
            <w:pPr>
              <w:numPr>
                <w:ilvl w:val="0"/>
                <w:numId w:val="0"/>
              </w:numPr>
              <w:spacing w:line="300" w:lineRule="atLeast"/>
              <w:rPr>
                <w:rFonts w:hint="default" w:ascii="宋体" w:hAnsi="宋体" w:eastAsia="宋体" w:cs="宋体"/>
                <w:b w:val="0"/>
                <w:bCs w:val="0"/>
                <w:color w:val="FF0000"/>
                <w:sz w:val="24"/>
                <w:szCs w:val="24"/>
                <w:lang w:val="en-US" w:eastAsia="zh-CN"/>
              </w:rPr>
            </w:pPr>
          </w:p>
          <w:p>
            <w:pPr>
              <w:spacing w:line="380" w:lineRule="exact"/>
              <w:jc w:val="center"/>
              <w:rPr>
                <w:rFonts w:hint="eastAsia" w:ascii="宋体" w:hAnsi="宋体" w:eastAsia="宋体" w:cs="宋体"/>
                <w:color w:val="auto"/>
                <w:sz w:val="22"/>
                <w:highlight w:val="none"/>
              </w:rPr>
            </w:pPr>
          </w:p>
        </w:tc>
        <w:tc>
          <w:tcPr>
            <w:tcW w:w="3105" w:type="dxa"/>
            <w:noWrap w:val="0"/>
            <w:vAlign w:val="center"/>
          </w:tcPr>
          <w:p>
            <w:pPr>
              <w:spacing w:line="380" w:lineRule="exact"/>
              <w:rPr>
                <w:rFonts w:hint="eastAsia" w:ascii="宋体" w:hAnsi="宋体" w:eastAsia="宋体" w:cs="宋体"/>
                <w:color w:val="auto"/>
                <w:sz w:val="22"/>
                <w:highlight w:val="none"/>
              </w:rPr>
            </w:pPr>
            <w:r>
              <w:rPr>
                <w:rFonts w:hint="eastAsia" w:ascii="宋体" w:hAnsi="宋体" w:eastAsia="宋体" w:cs="宋体"/>
                <w:color w:val="auto"/>
                <w:sz w:val="22"/>
                <w:highlight w:val="none"/>
              </w:rPr>
              <w:t>大写：</w:t>
            </w:r>
          </w:p>
        </w:tc>
        <w:tc>
          <w:tcPr>
            <w:tcW w:w="1323" w:type="dxa"/>
            <w:vMerge w:val="restart"/>
            <w:noWrap w:val="0"/>
            <w:vAlign w:val="center"/>
          </w:tcPr>
          <w:p>
            <w:pPr>
              <w:spacing w:line="380" w:lineRule="exact"/>
              <w:jc w:val="center"/>
              <w:rPr>
                <w:rFonts w:hint="eastAsia" w:ascii="宋体" w:hAnsi="宋体" w:eastAsia="宋体" w:cs="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jc w:val="center"/>
        </w:trPr>
        <w:tc>
          <w:tcPr>
            <w:tcW w:w="1244" w:type="dxa"/>
            <w:vMerge w:val="continue"/>
            <w:noWrap w:val="0"/>
            <w:vAlign w:val="center"/>
          </w:tcPr>
          <w:p>
            <w:pPr>
              <w:spacing w:line="380" w:lineRule="exact"/>
              <w:jc w:val="center"/>
              <w:rPr>
                <w:rFonts w:hint="eastAsia" w:ascii="宋体" w:hAnsi="宋体" w:eastAsia="宋体" w:cs="宋体"/>
                <w:color w:val="auto"/>
                <w:sz w:val="22"/>
                <w:highlight w:val="none"/>
              </w:rPr>
            </w:pPr>
          </w:p>
        </w:tc>
        <w:tc>
          <w:tcPr>
            <w:tcW w:w="3831" w:type="dxa"/>
            <w:vMerge w:val="continue"/>
            <w:noWrap w:val="0"/>
            <w:vAlign w:val="center"/>
          </w:tcPr>
          <w:p>
            <w:pPr>
              <w:spacing w:line="380" w:lineRule="exact"/>
              <w:jc w:val="center"/>
              <w:rPr>
                <w:rFonts w:hint="eastAsia" w:ascii="宋体" w:hAnsi="宋体" w:eastAsia="宋体" w:cs="宋体"/>
                <w:color w:val="auto"/>
                <w:sz w:val="22"/>
                <w:highlight w:val="none"/>
              </w:rPr>
            </w:pPr>
          </w:p>
        </w:tc>
        <w:tc>
          <w:tcPr>
            <w:tcW w:w="3105" w:type="dxa"/>
            <w:noWrap w:val="0"/>
            <w:vAlign w:val="center"/>
          </w:tcPr>
          <w:p>
            <w:pPr>
              <w:spacing w:line="380" w:lineRule="exact"/>
              <w:rPr>
                <w:rFonts w:hint="eastAsia" w:ascii="宋体" w:hAnsi="宋体" w:eastAsia="宋体" w:cs="宋体"/>
                <w:color w:val="auto"/>
                <w:sz w:val="22"/>
                <w:highlight w:val="none"/>
              </w:rPr>
            </w:pPr>
            <w:r>
              <w:rPr>
                <w:rFonts w:hint="eastAsia" w:ascii="宋体" w:hAnsi="宋体" w:eastAsia="宋体" w:cs="宋体"/>
                <w:color w:val="auto"/>
                <w:sz w:val="22"/>
                <w:highlight w:val="none"/>
              </w:rPr>
              <w:t>小写：</w:t>
            </w:r>
          </w:p>
        </w:tc>
        <w:tc>
          <w:tcPr>
            <w:tcW w:w="1323" w:type="dxa"/>
            <w:vMerge w:val="continue"/>
            <w:noWrap w:val="0"/>
            <w:vAlign w:val="center"/>
          </w:tcPr>
          <w:p>
            <w:pPr>
              <w:spacing w:line="380" w:lineRule="exact"/>
              <w:jc w:val="center"/>
              <w:rPr>
                <w:rFonts w:hint="eastAsia" w:ascii="宋体" w:hAnsi="宋体" w:eastAsia="宋体" w:cs="宋体"/>
                <w:color w:val="auto"/>
                <w:sz w:val="22"/>
                <w:highlight w:val="none"/>
              </w:rPr>
            </w:pPr>
          </w:p>
        </w:tc>
      </w:tr>
    </w:tbl>
    <w:p>
      <w:pPr>
        <w:spacing w:line="450" w:lineRule="exact"/>
        <w:ind w:firstLine="541" w:firstLineChars="245"/>
        <w:rPr>
          <w:rFonts w:hint="eastAsia" w:ascii="宋体" w:hAnsi="宋体" w:eastAsia="宋体" w:cs="宋体"/>
          <w:b/>
          <w:color w:val="auto"/>
          <w:sz w:val="22"/>
          <w:highlight w:val="none"/>
        </w:rPr>
      </w:pPr>
    </w:p>
    <w:p>
      <w:pPr>
        <w:spacing w:line="240" w:lineRule="auto"/>
        <w:rPr>
          <w:rFonts w:hint="eastAsia" w:ascii="宋体" w:hAnsi="宋体" w:eastAsia="宋体" w:cs="宋体"/>
          <w:b/>
          <w:color w:val="auto"/>
          <w:sz w:val="22"/>
          <w:highlight w:val="none"/>
        </w:rPr>
      </w:pPr>
      <w:r>
        <w:rPr>
          <w:rFonts w:hint="eastAsia" w:ascii="宋体" w:hAnsi="宋体" w:eastAsia="宋体" w:cs="宋体"/>
          <w:b/>
          <w:color w:val="auto"/>
          <w:sz w:val="22"/>
          <w:highlight w:val="none"/>
        </w:rPr>
        <w:t>说明：</w:t>
      </w:r>
    </w:p>
    <w:p>
      <w:pPr>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lang w:val="en-US" w:eastAsia="zh-CN"/>
        </w:rPr>
        <w:t>1</w:t>
      </w:r>
      <w:r>
        <w:rPr>
          <w:rFonts w:hint="eastAsia" w:ascii="宋体" w:hAnsi="宋体" w:eastAsia="宋体" w:cs="宋体"/>
          <w:b/>
          <w:color w:val="auto"/>
          <w:sz w:val="22"/>
          <w:highlight w:val="none"/>
        </w:rPr>
        <w:t>、全部报价均为税后价。</w:t>
      </w:r>
    </w:p>
    <w:p>
      <w:pPr>
        <w:pStyle w:val="2"/>
        <w:spacing w:line="360" w:lineRule="auto"/>
        <w:ind w:firstLine="442" w:firstLineChars="200"/>
        <w:rPr>
          <w:rFonts w:hint="eastAsia"/>
          <w:sz w:val="22"/>
          <w:szCs w:val="22"/>
        </w:rPr>
      </w:pPr>
      <w:r>
        <w:rPr>
          <w:rFonts w:hint="eastAsia"/>
          <w:sz w:val="22"/>
          <w:szCs w:val="22"/>
          <w:lang w:val="en-US" w:eastAsia="zh-CN"/>
        </w:rPr>
        <w:t>2、响应</w:t>
      </w:r>
      <w:r>
        <w:rPr>
          <w:rFonts w:hint="eastAsia"/>
          <w:sz w:val="22"/>
          <w:szCs w:val="22"/>
        </w:rPr>
        <w:t>总价应包括本项目整个服务期所需的一切设备、材料、软硬件、人工、工具、设备、保险、交通、利润、税金（包含须由</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承担的各种税费）、其它需</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承担的费用及潜在可能涉及的一切费用。</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应认真计算可能发生的各相关费用并计入</w:t>
      </w:r>
      <w:r>
        <w:rPr>
          <w:rFonts w:hint="eastAsia"/>
          <w:sz w:val="22"/>
          <w:szCs w:val="22"/>
          <w:lang w:val="en-US" w:eastAsia="zh-CN"/>
        </w:rPr>
        <w:t>响应</w:t>
      </w:r>
      <w:r>
        <w:rPr>
          <w:rFonts w:hint="eastAsia"/>
          <w:sz w:val="22"/>
          <w:szCs w:val="22"/>
        </w:rPr>
        <w:t>报价内，在项目实施过程中不得藉此要求增加任何费用。如上述没有提及但该项目仍需要的内容，请</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自行考虑一并计入</w:t>
      </w:r>
      <w:r>
        <w:rPr>
          <w:rFonts w:hint="eastAsia"/>
          <w:sz w:val="22"/>
          <w:szCs w:val="22"/>
          <w:lang w:val="en-US" w:eastAsia="zh-CN"/>
        </w:rPr>
        <w:t>响应</w:t>
      </w:r>
      <w:r>
        <w:rPr>
          <w:rFonts w:hint="eastAsia"/>
          <w:sz w:val="22"/>
          <w:szCs w:val="22"/>
        </w:rPr>
        <w:t>报价中（未计入的，视为</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的优惠）</w:t>
      </w:r>
    </w:p>
    <w:p>
      <w:pPr>
        <w:pStyle w:val="2"/>
        <w:spacing w:line="360" w:lineRule="auto"/>
        <w:ind w:firstLine="442" w:firstLineChars="200"/>
        <w:rPr>
          <w:rFonts w:hint="eastAsia" w:ascii="宋体" w:hAnsi="宋体" w:eastAsia="宋体" w:cs="宋体"/>
          <w:b/>
          <w:color w:val="auto"/>
          <w:sz w:val="22"/>
          <w:highlight w:val="none"/>
          <w:lang w:eastAsia="zh-CN"/>
        </w:rPr>
      </w:pPr>
      <w:r>
        <w:rPr>
          <w:rFonts w:hint="eastAsia" w:ascii="宋体" w:hAnsi="宋体" w:eastAsia="宋体" w:cs="宋体"/>
          <w:b/>
          <w:color w:val="auto"/>
          <w:sz w:val="22"/>
          <w:highlight w:val="none"/>
          <w:lang w:val="en-US" w:eastAsia="zh-CN"/>
        </w:rPr>
        <w:t>3</w:t>
      </w:r>
      <w:r>
        <w:rPr>
          <w:rFonts w:hint="eastAsia" w:ascii="宋体" w:hAnsi="宋体" w:eastAsia="宋体" w:cs="宋体"/>
          <w:b/>
          <w:color w:val="auto"/>
          <w:sz w:val="22"/>
          <w:highlight w:val="none"/>
        </w:rPr>
        <w:t>、不提供此表格将被视为没有实质性响应文件</w:t>
      </w:r>
      <w:r>
        <w:rPr>
          <w:rFonts w:hint="eastAsia" w:ascii="宋体" w:hAnsi="宋体" w:eastAsia="宋体" w:cs="宋体"/>
          <w:b/>
          <w:color w:val="auto"/>
          <w:sz w:val="22"/>
          <w:highlight w:val="none"/>
          <w:lang w:eastAsia="zh-CN"/>
        </w:rPr>
        <w:t>。</w:t>
      </w:r>
    </w:p>
    <w:p>
      <w:pPr>
        <w:ind w:firstLine="442" w:firstLineChars="200"/>
        <w:rPr>
          <w:rFonts w:hint="default"/>
          <w:lang w:val="en-US" w:eastAsia="zh-CN"/>
        </w:rPr>
      </w:pPr>
      <w:r>
        <w:rPr>
          <w:rFonts w:hint="eastAsia" w:ascii="宋体" w:hAnsi="宋体" w:cs="宋体"/>
          <w:b/>
          <w:color w:val="auto"/>
          <w:sz w:val="22"/>
          <w:highlight w:val="none"/>
          <w:lang w:val="en-US" w:eastAsia="zh-CN"/>
        </w:rPr>
        <w:t>4、报价超过预算金额按无效标处理。</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spacing w:line="460" w:lineRule="exact"/>
        <w:ind w:firstLine="4400" w:firstLineChars="2000"/>
        <w:rPr>
          <w:rFonts w:hint="eastAsia" w:ascii="宋体" w:hAnsi="宋体" w:eastAsia="宋体" w:cs="宋体"/>
          <w:color w:val="auto"/>
          <w:sz w:val="22"/>
          <w:szCs w:val="22"/>
          <w:highlight w:val="none"/>
        </w:rPr>
      </w:pPr>
    </w:p>
    <w:p>
      <w:pPr>
        <w:spacing w:line="460" w:lineRule="exact"/>
        <w:ind w:firstLine="4400" w:firstLineChars="2000"/>
        <w:rPr>
          <w:rFonts w:hint="eastAsia" w:ascii="宋体" w:hAnsi="宋体" w:eastAsia="宋体" w:cs="宋体"/>
          <w:color w:val="auto"/>
          <w:sz w:val="22"/>
          <w:szCs w:val="22"/>
          <w:highlight w:val="none"/>
        </w:rPr>
      </w:pPr>
    </w:p>
    <w:p>
      <w:pPr>
        <w:spacing w:line="460" w:lineRule="exact"/>
        <w:ind w:firstLine="4400" w:firstLineChars="2000"/>
        <w:rPr>
          <w:rFonts w:hint="eastAsia" w:ascii="宋体" w:hAnsi="宋体" w:eastAsia="宋体" w:cs="宋体"/>
          <w:color w:val="auto"/>
          <w:sz w:val="22"/>
          <w:szCs w:val="22"/>
          <w:highlight w:val="none"/>
        </w:rPr>
      </w:pPr>
    </w:p>
    <w:p>
      <w:pPr>
        <w:spacing w:line="460" w:lineRule="exact"/>
        <w:ind w:firstLine="4400" w:firstLineChars="2000"/>
        <w:rPr>
          <w:rFonts w:hint="eastAsia" w:ascii="宋体" w:hAnsi="宋体" w:eastAsia="宋体" w:cs="宋体"/>
          <w:color w:val="auto"/>
          <w:sz w:val="22"/>
          <w:szCs w:val="22"/>
          <w:highlight w:val="none"/>
        </w:rPr>
      </w:pP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供应商全称（盖章）：</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供应商代表（签字）：</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日  期：   </w:t>
      </w:r>
    </w:p>
    <w:p>
      <w:pPr>
        <w:pStyle w:val="2"/>
        <w:rPr>
          <w:rFonts w:hint="eastAsia"/>
        </w:rPr>
      </w:pPr>
    </w:p>
    <w:p>
      <w:pPr>
        <w:rPr>
          <w:rFonts w:hint="eastAsia"/>
        </w:rPr>
      </w:pPr>
    </w:p>
    <w:p>
      <w:pPr>
        <w:pStyle w:val="20"/>
        <w:rPr>
          <w:rFonts w:hint="eastAsia"/>
        </w:rPr>
      </w:pPr>
    </w:p>
    <w:p>
      <w:pPr>
        <w:adjustRightInd w:val="0"/>
        <w:snapToGrid w:val="0"/>
        <w:spacing w:line="360" w:lineRule="auto"/>
        <w:jc w:val="left"/>
        <w:rPr>
          <w:rFonts w:hint="eastAsia" w:ascii="宋体" w:hAnsi="宋体"/>
          <w:color w:val="000000"/>
          <w:szCs w:val="21"/>
        </w:rPr>
      </w:pPr>
    </w:p>
    <w:p>
      <w:pPr>
        <w:pStyle w:val="20"/>
        <w:rPr>
          <w:rFonts w:hint="eastAsia" w:ascii="宋体" w:hAnsi="宋体"/>
          <w:color w:val="000000"/>
          <w:szCs w:val="21"/>
        </w:rPr>
      </w:pPr>
    </w:p>
    <w:p>
      <w:pPr>
        <w:pStyle w:val="20"/>
        <w:spacing w:line="360" w:lineRule="auto"/>
        <w:ind w:left="1618" w:leftChars="397" w:hanging="784" w:hangingChars="217"/>
        <w:rPr>
          <w:rFonts w:hint="eastAsia" w:ascii="宋体" w:hAnsi="宋体"/>
          <w:b/>
          <w:bCs/>
          <w:color w:val="000000"/>
          <w:sz w:val="36"/>
          <w:szCs w:val="36"/>
        </w:rPr>
      </w:pPr>
      <w:r>
        <w:rPr>
          <w:rFonts w:hint="eastAsia" w:ascii="宋体" w:hAnsi="宋体"/>
          <w:b/>
          <w:bCs/>
          <w:color w:val="000000"/>
          <w:sz w:val="36"/>
          <w:szCs w:val="36"/>
        </w:rPr>
        <w:t>温州市中医院财务数字处理自动化软件采购合同</w:t>
      </w:r>
    </w:p>
    <w:p>
      <w:pPr>
        <w:pStyle w:val="20"/>
        <w:spacing w:line="360" w:lineRule="auto"/>
        <w:ind w:left="1470" w:leftChars="700" w:firstLine="5835" w:firstLineChars="2779"/>
        <w:rPr>
          <w:rFonts w:hint="eastAsia" w:ascii="宋体" w:hAnsi="宋体"/>
          <w:color w:val="000000"/>
          <w:szCs w:val="21"/>
        </w:rPr>
      </w:pPr>
      <w:r>
        <w:rPr>
          <w:rFonts w:hint="eastAsia" w:ascii="宋体" w:hAnsi="宋体"/>
          <w:color w:val="000000"/>
          <w:szCs w:val="21"/>
        </w:rPr>
        <w:t xml:space="preserve">合同编号： </w:t>
      </w:r>
    </w:p>
    <w:p>
      <w:pPr>
        <w:pStyle w:val="20"/>
        <w:spacing w:line="360" w:lineRule="auto"/>
        <w:rPr>
          <w:rFonts w:hint="eastAsia" w:ascii="宋体" w:hAnsi="宋体"/>
          <w:color w:val="000000"/>
          <w:szCs w:val="21"/>
        </w:rPr>
      </w:pPr>
      <w:r>
        <w:rPr>
          <w:rFonts w:hint="eastAsia" w:ascii="宋体" w:hAnsi="宋体"/>
          <w:color w:val="000000"/>
          <w:szCs w:val="21"/>
        </w:rPr>
        <w:t>甲方（遴选人）： 温州市中医院</w:t>
      </w:r>
    </w:p>
    <w:p>
      <w:pPr>
        <w:pStyle w:val="20"/>
        <w:spacing w:line="360" w:lineRule="auto"/>
        <w:rPr>
          <w:rFonts w:hint="eastAsia" w:ascii="宋体" w:hAnsi="宋体"/>
          <w:color w:val="000000"/>
          <w:szCs w:val="21"/>
        </w:rPr>
      </w:pPr>
      <w:r>
        <w:rPr>
          <w:rFonts w:hint="eastAsia" w:ascii="宋体" w:hAnsi="宋体"/>
          <w:color w:val="000000"/>
          <w:szCs w:val="21"/>
        </w:rPr>
        <w:t>乙方（入围供应商）： _________</w:t>
      </w:r>
    </w:p>
    <w:p>
      <w:pPr>
        <w:pStyle w:val="20"/>
        <w:spacing w:before="0" w:after="0" w:line="360" w:lineRule="auto"/>
        <w:ind w:left="0" w:leftChars="0" w:firstLine="420" w:firstLineChars="200"/>
        <w:rPr>
          <w:rFonts w:hint="eastAsia" w:ascii="宋体" w:hAnsi="宋体"/>
          <w:color w:val="000000"/>
          <w:szCs w:val="21"/>
        </w:rPr>
      </w:pPr>
      <w:r>
        <w:rPr>
          <w:rFonts w:hint="eastAsia" w:ascii="宋体" w:hAnsi="宋体"/>
          <w:color w:val="000000"/>
          <w:szCs w:val="21"/>
        </w:rPr>
        <w:t>根据《中华人民共和国民法典》及相关法律法规规定，甲乙双方在平等、自愿、公平、诚实信用的基础上，就甲方采购医院财务数字处理自动化软件项目达成如下协议：</w:t>
      </w:r>
    </w:p>
    <w:p>
      <w:pPr>
        <w:pStyle w:val="20"/>
        <w:spacing w:line="360" w:lineRule="auto"/>
        <w:rPr>
          <w:rFonts w:hint="default" w:ascii="宋体" w:hAnsi="宋体" w:eastAsia="宋体"/>
          <w:color w:val="000000"/>
          <w:szCs w:val="21"/>
          <w:lang w:val="en-US" w:eastAsia="zh-CN"/>
        </w:rPr>
      </w:pPr>
      <w:r>
        <w:rPr>
          <w:rFonts w:hint="eastAsia" w:ascii="宋体" w:hAnsi="宋体"/>
          <w:color w:val="000000"/>
          <w:szCs w:val="21"/>
        </w:rPr>
        <w:t xml:space="preserve">第一条 </w:t>
      </w:r>
      <w:r>
        <w:rPr>
          <w:rFonts w:hint="eastAsia" w:ascii="宋体" w:hAnsi="宋体"/>
          <w:color w:val="000000"/>
          <w:szCs w:val="21"/>
          <w:lang w:val="en-US" w:eastAsia="zh-CN"/>
        </w:rPr>
        <w:t>采购内容及要求</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1.1 乙方根据甲方要求，向甲方提供医院财务数字处理自动化软件产品许可、实施部署、流程开发、培训与售后运维服务。</w:t>
      </w:r>
    </w:p>
    <w:p>
      <w:pPr>
        <w:pStyle w:val="20"/>
        <w:spacing w:before="0" w:after="0" w:line="360" w:lineRule="auto"/>
        <w:ind w:left="0" w:firstLine="0"/>
        <w:rPr>
          <w:rFonts w:hint="default" w:ascii="宋体" w:hAnsi="宋体" w:eastAsia="宋体"/>
          <w:color w:val="000000"/>
          <w:szCs w:val="21"/>
          <w:lang w:val="en-US" w:eastAsia="zh-CN"/>
        </w:rPr>
      </w:pPr>
      <w:r>
        <w:rPr>
          <w:rFonts w:hint="eastAsia" w:ascii="宋体" w:hAnsi="宋体"/>
          <w:color w:val="000000"/>
          <w:szCs w:val="21"/>
        </w:rPr>
        <w:t>1.2 具体功能要求</w:t>
      </w:r>
      <w:r>
        <w:rPr>
          <w:rFonts w:hint="eastAsia" w:ascii="宋体" w:hAnsi="宋体"/>
          <w:color w:val="000000"/>
          <w:szCs w:val="21"/>
          <w:lang w:val="en-US" w:eastAsia="zh-CN"/>
        </w:rPr>
        <w:t>详见附件。</w:t>
      </w:r>
    </w:p>
    <w:p>
      <w:pPr>
        <w:pStyle w:val="20"/>
        <w:spacing w:line="360" w:lineRule="auto"/>
        <w:rPr>
          <w:rFonts w:hint="eastAsia" w:ascii="宋体" w:hAnsi="宋体"/>
          <w:color w:val="000000"/>
          <w:szCs w:val="21"/>
        </w:rPr>
      </w:pPr>
      <w:r>
        <w:rPr>
          <w:rFonts w:hint="eastAsia" w:ascii="宋体" w:hAnsi="宋体"/>
          <w:color w:val="000000"/>
          <w:szCs w:val="21"/>
        </w:rPr>
        <w:t>第二条 合同金额与支付</w:t>
      </w:r>
    </w:p>
    <w:p>
      <w:pPr>
        <w:pStyle w:val="20"/>
        <w:spacing w:before="0" w:after="0" w:line="360" w:lineRule="auto"/>
        <w:ind w:left="0" w:firstLine="0"/>
        <w:rPr>
          <w:rFonts w:hint="default" w:ascii="宋体" w:hAnsi="宋体" w:eastAsia="宋体"/>
          <w:color w:val="000000"/>
          <w:szCs w:val="21"/>
          <w:lang w:val="en-US" w:eastAsia="zh-CN"/>
        </w:rPr>
      </w:pPr>
      <w:r>
        <w:rPr>
          <w:rFonts w:hint="eastAsia" w:ascii="宋体" w:hAnsi="宋体"/>
          <w:color w:val="000000"/>
          <w:szCs w:val="21"/>
        </w:rPr>
        <w:t>2.1 本合同总金额为人民币（大写）__________元整（¥__________元），为含税价。</w:t>
      </w:r>
      <w:r>
        <w:rPr>
          <w:rFonts w:hint="eastAsia" w:ascii="宋体" w:hAnsi="宋体" w:cs="Times New Roman"/>
          <w:color w:val="000000"/>
          <w:szCs w:val="21"/>
          <w:lang w:val="en-US" w:eastAsia="zh-CN"/>
        </w:rPr>
        <w:t>已包含乙方履行本合同所需的软件开发、许可、实施部署、培训、维保等一切税费与费用。</w:t>
      </w:r>
    </w:p>
    <w:p>
      <w:pPr>
        <w:pStyle w:val="20"/>
        <w:spacing w:line="360" w:lineRule="auto"/>
        <w:rPr>
          <w:rFonts w:hint="eastAsia" w:ascii="宋体" w:hAnsi="宋体"/>
          <w:color w:val="000000"/>
          <w:szCs w:val="21"/>
        </w:rPr>
      </w:pPr>
      <w:r>
        <w:rPr>
          <w:rFonts w:hint="eastAsia" w:ascii="宋体" w:hAnsi="宋体"/>
          <w:color w:val="000000"/>
          <w:szCs w:val="21"/>
        </w:rPr>
        <w:t>2.2 支付方式：</w:t>
      </w:r>
    </w:p>
    <w:p>
      <w:pPr>
        <w:pStyle w:val="20"/>
        <w:spacing w:line="360" w:lineRule="auto"/>
        <w:rPr>
          <w:rFonts w:hint="eastAsia" w:ascii="宋体" w:hAnsi="宋体"/>
          <w:color w:val="000000"/>
          <w:szCs w:val="21"/>
        </w:rPr>
      </w:pPr>
      <w:r>
        <w:rPr>
          <w:rFonts w:hint="eastAsia" w:ascii="宋体" w:hAnsi="宋体"/>
          <w:color w:val="000000"/>
          <w:szCs w:val="21"/>
        </w:rPr>
        <w:t>合同签订后，系统安装调试完毕并经最终验收合格后三个月内，甲方向乙方支付全部合同价款。</w:t>
      </w:r>
    </w:p>
    <w:p>
      <w:pPr>
        <w:pStyle w:val="20"/>
        <w:spacing w:before="0" w:after="0" w:line="360" w:lineRule="auto"/>
        <w:ind w:left="0" w:firstLine="0"/>
        <w:rPr>
          <w:rFonts w:hint="default" w:ascii="宋体" w:hAnsi="宋体" w:eastAsia="宋体"/>
          <w:color w:val="000000"/>
          <w:szCs w:val="21"/>
          <w:lang w:val="en-US" w:eastAsia="zh-CN"/>
        </w:rPr>
      </w:pPr>
      <w:r>
        <w:rPr>
          <w:rFonts w:hint="eastAsia" w:ascii="宋体" w:hAnsi="宋体"/>
          <w:color w:val="000000"/>
          <w:szCs w:val="21"/>
        </w:rPr>
        <w:t>2.3 乙方收款前应向甲方开具合法有效的增值税发票。</w:t>
      </w:r>
      <w:r>
        <w:rPr>
          <w:rFonts w:hint="eastAsia" w:ascii="宋体" w:hAnsi="宋体"/>
          <w:color w:val="000000"/>
          <w:szCs w:val="21"/>
          <w:lang w:val="en-US" w:eastAsia="zh-CN"/>
        </w:rPr>
        <w:t>乙方未开具合格发票、或所开发票无法通过税务认证、或发票信息与合同约定不符的，甲方有权暂缓支付相应款项，且不构成甲方违约。</w:t>
      </w:r>
    </w:p>
    <w:p>
      <w:pPr>
        <w:pStyle w:val="20"/>
        <w:spacing w:line="360" w:lineRule="auto"/>
        <w:rPr>
          <w:rFonts w:hint="eastAsia" w:ascii="宋体" w:hAnsi="宋体"/>
          <w:color w:val="000000"/>
          <w:szCs w:val="21"/>
        </w:rPr>
      </w:pPr>
      <w:r>
        <w:rPr>
          <w:rFonts w:hint="eastAsia" w:ascii="宋体" w:hAnsi="宋体"/>
          <w:color w:val="000000"/>
          <w:szCs w:val="21"/>
        </w:rPr>
        <w:t>第三条 供货期与交付</w:t>
      </w:r>
    </w:p>
    <w:p>
      <w:pPr>
        <w:pStyle w:val="20"/>
        <w:spacing w:line="360" w:lineRule="auto"/>
        <w:rPr>
          <w:rFonts w:hint="eastAsia" w:ascii="宋体" w:hAnsi="宋体"/>
          <w:color w:val="000000"/>
          <w:szCs w:val="21"/>
        </w:rPr>
      </w:pPr>
      <w:r>
        <w:rPr>
          <w:rFonts w:hint="eastAsia" w:ascii="宋体" w:hAnsi="宋体"/>
          <w:color w:val="000000"/>
          <w:szCs w:val="21"/>
        </w:rPr>
        <w:t xml:space="preserve">3.1 </w:t>
      </w:r>
      <w:r>
        <w:rPr>
          <w:rFonts w:hint="eastAsia" w:ascii="宋体" w:hAnsi="宋体"/>
          <w:color w:val="000000"/>
          <w:szCs w:val="21"/>
          <w:lang w:val="en-US" w:eastAsia="zh-CN"/>
        </w:rPr>
        <w:t>乙方应于</w:t>
      </w:r>
      <w:r>
        <w:rPr>
          <w:rFonts w:hint="eastAsia" w:ascii="宋体" w:hAnsi="宋体"/>
          <w:color w:val="000000"/>
          <w:szCs w:val="21"/>
        </w:rPr>
        <w:t>合同签订后三个月内完成全部软件的安装、调试</w:t>
      </w:r>
      <w:r>
        <w:rPr>
          <w:rFonts w:hint="eastAsia" w:ascii="宋体" w:hAnsi="宋体"/>
          <w:color w:val="000000"/>
          <w:szCs w:val="21"/>
          <w:lang w:eastAsia="zh-CN"/>
        </w:rPr>
        <w:t>，</w:t>
      </w:r>
      <w:r>
        <w:rPr>
          <w:rFonts w:hint="eastAsia" w:ascii="宋体" w:hAnsi="宋体"/>
          <w:color w:val="000000"/>
          <w:szCs w:val="21"/>
          <w:lang w:val="en-US" w:eastAsia="zh-CN"/>
        </w:rPr>
        <w:t>并达到可试运行状态</w:t>
      </w:r>
      <w:r>
        <w:rPr>
          <w:rFonts w:hint="eastAsia" w:ascii="宋体" w:hAnsi="宋体"/>
          <w:color w:val="000000"/>
          <w:szCs w:val="21"/>
        </w:rPr>
        <w:t>。</w:t>
      </w:r>
    </w:p>
    <w:p>
      <w:pPr>
        <w:pStyle w:val="20"/>
        <w:spacing w:line="360" w:lineRule="auto"/>
        <w:rPr>
          <w:rFonts w:hint="eastAsia" w:ascii="宋体" w:hAnsi="宋体"/>
          <w:color w:val="000000"/>
          <w:szCs w:val="21"/>
        </w:rPr>
      </w:pPr>
      <w:r>
        <w:rPr>
          <w:rFonts w:hint="eastAsia" w:ascii="宋体" w:hAnsi="宋体"/>
          <w:color w:val="000000"/>
          <w:szCs w:val="21"/>
        </w:rPr>
        <w:t>3.2 交付地点：甲方指定地点。</w:t>
      </w:r>
    </w:p>
    <w:p>
      <w:pPr>
        <w:pStyle w:val="20"/>
        <w:spacing w:line="360" w:lineRule="auto"/>
        <w:rPr>
          <w:rFonts w:hint="eastAsia" w:ascii="宋体" w:hAnsi="宋体"/>
          <w:color w:val="000000"/>
          <w:szCs w:val="21"/>
          <w:lang w:val="en-US" w:eastAsia="zh-CN"/>
        </w:rPr>
      </w:pPr>
      <w:r>
        <w:rPr>
          <w:rFonts w:hint="eastAsia" w:ascii="宋体" w:hAnsi="宋体"/>
          <w:color w:val="000000"/>
          <w:szCs w:val="21"/>
          <w:lang w:val="en-US" w:eastAsia="zh-CN"/>
        </w:rPr>
        <w:t>3.3 交付物清单：乙方应随软件产品一并交付下列全部资料与物品，并作为验收的必备条件：</w:t>
      </w:r>
    </w:p>
    <w:p>
      <w:pPr>
        <w:pStyle w:val="20"/>
        <w:spacing w:line="360" w:lineRule="auto"/>
        <w:rPr>
          <w:rFonts w:hint="eastAsia" w:ascii="宋体" w:hAnsi="宋体"/>
          <w:color w:val="000000"/>
          <w:szCs w:val="21"/>
          <w:lang w:val="en-US" w:eastAsia="zh-CN"/>
        </w:rPr>
      </w:pPr>
      <w:r>
        <w:rPr>
          <w:rFonts w:hint="eastAsia" w:ascii="宋体" w:hAnsi="宋体"/>
          <w:color w:val="000000"/>
          <w:szCs w:val="21"/>
          <w:lang w:val="en-US" w:eastAsia="zh-CN"/>
        </w:rPr>
        <w:t>（1）软件安装包、有效许可文件或授权凭证、集中管理端与执行端的全部账号及初始密码；</w:t>
      </w:r>
    </w:p>
    <w:p>
      <w:pPr>
        <w:pStyle w:val="20"/>
        <w:spacing w:line="360" w:lineRule="auto"/>
        <w:rPr>
          <w:rFonts w:hint="eastAsia" w:ascii="宋体" w:hAnsi="宋体"/>
          <w:color w:val="000000"/>
          <w:szCs w:val="21"/>
          <w:lang w:val="en-US" w:eastAsia="zh-CN"/>
        </w:rPr>
      </w:pPr>
      <w:r>
        <w:rPr>
          <w:rFonts w:hint="eastAsia" w:ascii="宋体" w:hAnsi="宋体"/>
          <w:color w:val="000000"/>
          <w:szCs w:val="21"/>
          <w:lang w:val="en-US" w:eastAsia="zh-CN"/>
        </w:rPr>
        <w:t>（2）系统部署文档、运维手册、用户操作手册、培训教材、数据字典、接口说明文档；</w:t>
      </w:r>
    </w:p>
    <w:p>
      <w:pPr>
        <w:pStyle w:val="20"/>
        <w:spacing w:before="0" w:after="0" w:line="360" w:lineRule="auto"/>
        <w:ind w:left="0" w:firstLine="0"/>
        <w:rPr>
          <w:rFonts w:hint="eastAsia" w:ascii="宋体" w:hAnsi="宋体"/>
          <w:color w:val="000000"/>
          <w:szCs w:val="21"/>
          <w:lang w:val="en-US" w:eastAsia="zh-CN"/>
        </w:rPr>
      </w:pPr>
      <w:r>
        <w:rPr>
          <w:rFonts w:hint="eastAsia" w:ascii="宋体" w:hAnsi="宋体"/>
          <w:color w:val="000000"/>
          <w:szCs w:val="21"/>
          <w:lang w:val="en-US" w:eastAsia="zh-CN"/>
        </w:rPr>
        <w:t>（3）乙方非软件原厂商的，应提供原厂商出具的、载明产品名称与版本并加盖原厂商公章的授权文件，或由原厂商出具的直接质保与技术支持承诺函。</w:t>
      </w:r>
    </w:p>
    <w:p>
      <w:pPr>
        <w:pStyle w:val="20"/>
        <w:spacing w:line="360" w:lineRule="auto"/>
        <w:ind w:left="0" w:firstLine="0"/>
        <w:rPr>
          <w:rFonts w:hint="default" w:ascii="宋体" w:hAnsi="宋体" w:eastAsia="宋体"/>
          <w:color w:val="000000"/>
          <w:szCs w:val="21"/>
          <w:lang w:val="en-US" w:eastAsia="zh-CN"/>
        </w:rPr>
      </w:pPr>
      <w:r>
        <w:rPr>
          <w:rFonts w:hint="eastAsia" w:ascii="宋体" w:hAnsi="宋体"/>
          <w:color w:val="000000"/>
          <w:szCs w:val="21"/>
          <w:lang w:val="en-US" w:eastAsia="zh-CN"/>
        </w:rPr>
        <w:t>上述交付物缺少任何一项，视为交付未完成，甲方有权拒绝验收，且不构成甲方违约，由此产生的工期延误由乙方承担。</w:t>
      </w:r>
    </w:p>
    <w:p>
      <w:pPr>
        <w:pStyle w:val="20"/>
        <w:spacing w:line="360" w:lineRule="auto"/>
        <w:rPr>
          <w:rFonts w:hint="eastAsia" w:ascii="宋体" w:hAnsi="宋体"/>
          <w:color w:val="000000"/>
          <w:szCs w:val="21"/>
        </w:rPr>
      </w:pPr>
      <w:r>
        <w:rPr>
          <w:rFonts w:hint="eastAsia" w:ascii="宋体" w:hAnsi="宋体"/>
          <w:color w:val="000000"/>
          <w:szCs w:val="21"/>
        </w:rPr>
        <w:t>第四条 验收</w:t>
      </w:r>
    </w:p>
    <w:p>
      <w:pPr>
        <w:pStyle w:val="20"/>
        <w:spacing w:line="360" w:lineRule="auto"/>
        <w:rPr>
          <w:rFonts w:hint="eastAsia" w:ascii="宋体" w:hAnsi="宋体"/>
          <w:color w:val="000000"/>
          <w:szCs w:val="21"/>
        </w:rPr>
      </w:pPr>
      <w:r>
        <w:rPr>
          <w:rFonts w:hint="eastAsia" w:ascii="宋体" w:hAnsi="宋体"/>
          <w:color w:val="000000"/>
          <w:szCs w:val="21"/>
        </w:rPr>
        <w:t>4.1 验收工作由甲乙双方共同参加，乙方应派代表到场配合验收，双方代表应在验收记录上签字确认。</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4.2 验收应严格按照国家相关法律法规、行业标准、遴选文件及乙方响应文件中的承诺、合同约定进行，验收内容包括但不限于：软件功能的完整性、运行稳定性、技术参数的符合性及文档资料的齐全性。</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4.3 验收时如发现所交付的软件无法正常运行、功能缺失或存在其他不符合合同要求的情形，甲方应做出详尽的现场记录（包括文字描述、截图、日志文件等），明确问题清单及整改要求。</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4.4 因上述问题产生的整改费用、返工费用、检测费用及其他相关损失，全部由乙方承担。乙方应在双方商定的期限内完成整改，直至再次验收合格。如整改后仍不合格，甲方有权按合同约定追究违约责任。</w:t>
      </w:r>
    </w:p>
    <w:p>
      <w:pPr>
        <w:pStyle w:val="20"/>
        <w:spacing w:line="360" w:lineRule="auto"/>
        <w:rPr>
          <w:rFonts w:hint="eastAsia" w:ascii="宋体" w:hAnsi="宋体"/>
          <w:color w:val="000000"/>
          <w:szCs w:val="21"/>
        </w:rPr>
      </w:pPr>
      <w:r>
        <w:rPr>
          <w:rFonts w:hint="eastAsia" w:ascii="宋体" w:hAnsi="宋体"/>
          <w:color w:val="000000"/>
          <w:szCs w:val="21"/>
        </w:rPr>
        <w:t>第五条 维保服务</w:t>
      </w:r>
    </w:p>
    <w:p>
      <w:pPr>
        <w:pStyle w:val="20"/>
        <w:spacing w:before="0" w:after="0" w:line="360" w:lineRule="auto"/>
        <w:ind w:left="0" w:firstLine="0"/>
        <w:rPr>
          <w:rFonts w:hint="eastAsia" w:ascii="宋体" w:hAnsi="宋体"/>
          <w:color w:val="000000"/>
          <w:szCs w:val="21"/>
        </w:rPr>
      </w:pPr>
      <w:r>
        <w:rPr>
          <w:rFonts w:hint="eastAsia" w:ascii="宋体" w:hAnsi="宋体"/>
          <w:color w:val="000000"/>
          <w:szCs w:val="21"/>
        </w:rPr>
        <w:t>5.1 乙方为本项目所有软件系统提供</w:t>
      </w:r>
      <w:r>
        <w:rPr>
          <w:rFonts w:hint="eastAsia" w:ascii="宋体" w:hAnsi="宋体"/>
          <w:color w:val="000000"/>
          <w:szCs w:val="21"/>
          <w:u w:val="single"/>
          <w:lang w:val="en-US" w:eastAsia="zh-CN"/>
        </w:rPr>
        <w:t xml:space="preserve">      </w:t>
      </w:r>
      <w:r>
        <w:rPr>
          <w:rFonts w:hint="eastAsia" w:ascii="宋体" w:hAnsi="宋体"/>
          <w:color w:val="000000"/>
          <w:szCs w:val="21"/>
        </w:rPr>
        <w:t>年的免费维护服务和技术支持，自最终验收合格之日起计算。</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5.2 维保期内，乙方保证所供软件为符合国家技术规格和质量标准的产品。如发生所供商品与合同不符，甲方有权拒收或退货，由此产生的一切责任和后果由乙方承担。</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5.3 维保期内因不能排除的故障而影响甲方工作的情况，每发生一次，维保期相应延长60天。维保期内因货物本身缺陷造成的各种故障，乙方应免费予以技术服务和维修</w:t>
      </w:r>
      <w:r>
        <w:rPr>
          <w:rFonts w:hint="eastAsia" w:ascii="宋体" w:hAnsi="宋体"/>
          <w:color w:val="000000"/>
          <w:szCs w:val="21"/>
          <w:lang w:eastAsia="zh-CN"/>
        </w:rPr>
        <w:t>，</w:t>
      </w:r>
      <w:r>
        <w:rPr>
          <w:rFonts w:hint="eastAsia" w:ascii="宋体" w:hAnsi="宋体"/>
          <w:color w:val="000000"/>
          <w:szCs w:val="21"/>
          <w:lang w:val="en-US" w:eastAsia="zh-CN"/>
        </w:rPr>
        <w:t>必要时予以更换</w:t>
      </w:r>
      <w:r>
        <w:rPr>
          <w:rFonts w:hint="eastAsia" w:ascii="宋体" w:hAnsi="宋体"/>
          <w:color w:val="000000"/>
          <w:szCs w:val="21"/>
        </w:rPr>
        <w:t>。</w:t>
      </w:r>
    </w:p>
    <w:p>
      <w:pPr>
        <w:pStyle w:val="20"/>
        <w:spacing w:line="360" w:lineRule="auto"/>
        <w:rPr>
          <w:rFonts w:hint="default" w:ascii="宋体" w:hAnsi="宋体" w:eastAsia="宋体"/>
          <w:color w:val="000000"/>
          <w:szCs w:val="21"/>
          <w:lang w:val="en-US" w:eastAsia="zh-CN"/>
        </w:rPr>
      </w:pPr>
      <w:r>
        <w:rPr>
          <w:rFonts w:hint="eastAsia" w:ascii="宋体" w:hAnsi="宋体"/>
          <w:color w:val="000000"/>
          <w:szCs w:val="21"/>
        </w:rPr>
        <w:t>5.4 及时向甲方提供产品升级换代信息，协助甲方做好升级工作。</w:t>
      </w:r>
    </w:p>
    <w:p>
      <w:pPr>
        <w:pStyle w:val="20"/>
        <w:spacing w:line="360" w:lineRule="auto"/>
        <w:rPr>
          <w:rFonts w:hint="eastAsia" w:ascii="宋体" w:hAnsi="宋体"/>
          <w:color w:val="000000"/>
          <w:szCs w:val="21"/>
        </w:rPr>
      </w:pPr>
      <w:r>
        <w:rPr>
          <w:rFonts w:hint="eastAsia" w:ascii="宋体" w:hAnsi="宋体"/>
          <w:color w:val="000000"/>
          <w:szCs w:val="21"/>
        </w:rPr>
        <w:t>第六条 售后服务效率</w:t>
      </w:r>
    </w:p>
    <w:p>
      <w:pPr>
        <w:pStyle w:val="20"/>
        <w:spacing w:line="360" w:lineRule="auto"/>
        <w:rPr>
          <w:rFonts w:hint="eastAsia" w:ascii="宋体" w:hAnsi="宋体"/>
          <w:color w:val="000000"/>
          <w:szCs w:val="21"/>
        </w:rPr>
      </w:pPr>
      <w:r>
        <w:rPr>
          <w:rFonts w:hint="eastAsia" w:ascii="宋体" w:hAnsi="宋体"/>
          <w:color w:val="000000"/>
          <w:szCs w:val="21"/>
        </w:rPr>
        <w:t>6.1 在软件维保期内，乙方提供7×24小时系统维护服务，包括但不限于电话、远程及现场支持。</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6.2 故障响应与修复时限：当系统发生故障时，乙方应在1小时内响应，4小时内修复。若故障在8小时内无法修复，乙方应无偿提供临时替代方案（如备用许可、临时部署环境、应急操作流程等），确保甲方业务不中断。替代方案涉及的全部费用由乙方承担。</w:t>
      </w:r>
    </w:p>
    <w:p>
      <w:pPr>
        <w:pStyle w:val="20"/>
        <w:spacing w:line="360" w:lineRule="auto"/>
        <w:rPr>
          <w:rFonts w:hint="eastAsia" w:ascii="宋体" w:hAnsi="宋体"/>
          <w:color w:val="000000"/>
          <w:szCs w:val="21"/>
        </w:rPr>
      </w:pPr>
      <w:r>
        <w:rPr>
          <w:rFonts w:hint="eastAsia" w:ascii="宋体" w:hAnsi="宋体"/>
          <w:color w:val="000000"/>
          <w:szCs w:val="21"/>
        </w:rPr>
        <w:t>6.3 乙方提供全面配套培训服务，包括但不限于：</w:t>
      </w:r>
    </w:p>
    <w:p>
      <w:pPr>
        <w:pStyle w:val="20"/>
        <w:spacing w:line="360" w:lineRule="auto"/>
        <w:rPr>
          <w:rFonts w:hint="eastAsia" w:ascii="宋体" w:hAnsi="宋体"/>
          <w:color w:val="000000"/>
          <w:szCs w:val="21"/>
        </w:rPr>
      </w:pPr>
      <w:r>
        <w:rPr>
          <w:rFonts w:hint="eastAsia" w:ascii="宋体" w:hAnsi="宋体"/>
          <w:color w:val="000000"/>
          <w:szCs w:val="21"/>
        </w:rPr>
        <w:t>（一）系统操作培训：针对系统管理员、业务操作人员等不同角色，提供分层次、分岗位的操作培训。</w:t>
      </w:r>
    </w:p>
    <w:p>
      <w:pPr>
        <w:pStyle w:val="20"/>
        <w:spacing w:line="360" w:lineRule="auto"/>
        <w:rPr>
          <w:rFonts w:hint="eastAsia" w:ascii="宋体" w:hAnsi="宋体"/>
          <w:color w:val="000000"/>
          <w:szCs w:val="21"/>
        </w:rPr>
      </w:pPr>
      <w:r>
        <w:rPr>
          <w:rFonts w:hint="eastAsia" w:ascii="宋体" w:hAnsi="宋体"/>
          <w:color w:val="000000"/>
          <w:szCs w:val="21"/>
        </w:rPr>
        <w:t>（二）技术培训：对信息科或相关技术人员进行系统架构、部署、运维及常见故障处理等技术培训。</w:t>
      </w:r>
    </w:p>
    <w:p>
      <w:pPr>
        <w:pStyle w:val="20"/>
        <w:spacing w:line="360" w:lineRule="auto"/>
        <w:rPr>
          <w:rFonts w:hint="eastAsia" w:ascii="宋体" w:hAnsi="宋体"/>
          <w:color w:val="000000"/>
          <w:szCs w:val="21"/>
        </w:rPr>
      </w:pPr>
      <w:r>
        <w:rPr>
          <w:rFonts w:hint="eastAsia" w:ascii="宋体" w:hAnsi="宋体"/>
          <w:color w:val="000000"/>
          <w:szCs w:val="21"/>
        </w:rPr>
        <w:t>（</w:t>
      </w:r>
      <w:r>
        <w:rPr>
          <w:rFonts w:hint="eastAsia" w:ascii="宋体" w:hAnsi="宋体"/>
          <w:color w:val="000000"/>
          <w:szCs w:val="21"/>
          <w:lang w:val="en-US" w:eastAsia="zh-CN"/>
        </w:rPr>
        <w:t>三</w:t>
      </w:r>
      <w:r>
        <w:rPr>
          <w:rFonts w:hint="eastAsia" w:ascii="宋体" w:hAnsi="宋体"/>
          <w:color w:val="000000"/>
          <w:szCs w:val="21"/>
        </w:rPr>
        <w:t>）培训资料：乙方免费提供完整的培训教材、用户手册、操作视频等相关资料。</w:t>
      </w:r>
    </w:p>
    <w:p>
      <w:pPr>
        <w:pStyle w:val="20"/>
        <w:spacing w:before="0" w:after="0" w:line="360" w:lineRule="auto"/>
        <w:ind w:left="0" w:firstLine="0"/>
        <w:rPr>
          <w:rFonts w:hint="eastAsia" w:ascii="宋体" w:hAnsi="宋体"/>
          <w:color w:val="000000"/>
          <w:szCs w:val="21"/>
        </w:rPr>
      </w:pPr>
      <w:r>
        <w:rPr>
          <w:rFonts w:hint="eastAsia" w:ascii="宋体" w:hAnsi="宋体"/>
          <w:color w:val="000000"/>
          <w:szCs w:val="21"/>
        </w:rPr>
        <w:t>（</w:t>
      </w:r>
      <w:r>
        <w:rPr>
          <w:rFonts w:hint="eastAsia" w:ascii="宋体" w:hAnsi="宋体"/>
          <w:color w:val="000000"/>
          <w:szCs w:val="21"/>
          <w:lang w:val="en-US" w:eastAsia="zh-CN"/>
        </w:rPr>
        <w:t>四</w:t>
      </w:r>
      <w:r>
        <w:rPr>
          <w:rFonts w:hint="eastAsia" w:ascii="宋体" w:hAnsi="宋体"/>
          <w:color w:val="000000"/>
          <w:szCs w:val="21"/>
        </w:rPr>
        <w:t>）培训</w:t>
      </w:r>
      <w:r>
        <w:rPr>
          <w:rFonts w:hint="eastAsia" w:ascii="宋体" w:hAnsi="宋体"/>
          <w:color w:val="000000"/>
          <w:szCs w:val="21"/>
          <w:lang w:val="en-US" w:eastAsia="zh-CN"/>
        </w:rPr>
        <w:t>方式及</w:t>
      </w:r>
      <w:r>
        <w:rPr>
          <w:rFonts w:hint="eastAsia" w:ascii="宋体" w:hAnsi="宋体"/>
          <w:color w:val="000000"/>
          <w:szCs w:val="21"/>
        </w:rPr>
        <w:t>频次：系统上线初期提供不少于</w:t>
      </w:r>
      <w:r>
        <w:rPr>
          <w:rFonts w:hint="eastAsia" w:ascii="宋体" w:hAnsi="宋体"/>
          <w:color w:val="000000"/>
          <w:szCs w:val="21"/>
          <w:u w:val="single"/>
          <w:lang w:val="en-US" w:eastAsia="zh-CN"/>
        </w:rPr>
        <w:t xml:space="preserve"> 20 </w:t>
      </w:r>
      <w:r>
        <w:rPr>
          <w:rFonts w:hint="eastAsia" w:ascii="宋体" w:hAnsi="宋体"/>
          <w:color w:val="000000"/>
          <w:szCs w:val="21"/>
        </w:rPr>
        <w:t>次现场集中培训；后续每年提供不少于</w:t>
      </w:r>
      <w:r>
        <w:rPr>
          <w:rFonts w:hint="eastAsia" w:ascii="宋体" w:hAnsi="宋体"/>
          <w:color w:val="000000"/>
          <w:szCs w:val="21"/>
          <w:u w:val="single"/>
          <w:lang w:val="en-US" w:eastAsia="zh-CN"/>
        </w:rPr>
        <w:t xml:space="preserve"> 4 </w:t>
      </w:r>
      <w:r>
        <w:rPr>
          <w:rFonts w:hint="eastAsia" w:ascii="宋体" w:hAnsi="宋体"/>
          <w:color w:val="000000"/>
          <w:szCs w:val="21"/>
        </w:rPr>
        <w:t>次复训或更新培训。</w:t>
      </w:r>
    </w:p>
    <w:p>
      <w:pPr>
        <w:pStyle w:val="20"/>
        <w:spacing w:line="360" w:lineRule="auto"/>
        <w:rPr>
          <w:rFonts w:hint="eastAsia" w:ascii="宋体" w:hAnsi="宋体"/>
          <w:color w:val="000000"/>
          <w:szCs w:val="21"/>
        </w:rPr>
      </w:pPr>
      <w:r>
        <w:rPr>
          <w:rFonts w:hint="eastAsia" w:ascii="宋体" w:hAnsi="宋体"/>
          <w:color w:val="000000"/>
          <w:szCs w:val="21"/>
        </w:rPr>
        <w:t>第七条 违约责任</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7.1 因乙方原因未在规定时限内响应、修复或提供有效替代方案，导致甲方业务中断或产生损失的，甲方有权按合同约定追究乙方违约责任，包括但不限于扣减服务费用、赔偿损失等。</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7.2 乙方未按合同约定期限完成软件交付、安装、调试的，每逾期一日，按合同总金额的0.5‰向甲方支付违约金。逾期超过30日的，甲方有权解除合同</w:t>
      </w:r>
      <w:r>
        <w:rPr>
          <w:rFonts w:hint="eastAsia" w:ascii="宋体" w:hAnsi="宋体"/>
          <w:color w:val="000000"/>
          <w:szCs w:val="21"/>
          <w:lang w:eastAsia="zh-CN"/>
        </w:rPr>
        <w:t>，</w:t>
      </w:r>
      <w:r>
        <w:rPr>
          <w:rFonts w:hint="eastAsia" w:ascii="宋体" w:hAnsi="宋体"/>
          <w:color w:val="000000"/>
          <w:szCs w:val="21"/>
          <w:lang w:val="en-US" w:eastAsia="zh-CN"/>
        </w:rPr>
        <w:t>乙方应于解除通知送达之日起15内全额退还已收款项</w:t>
      </w:r>
      <w:r>
        <w:rPr>
          <w:rFonts w:hint="eastAsia" w:ascii="宋体" w:hAnsi="宋体"/>
          <w:color w:val="000000"/>
          <w:szCs w:val="21"/>
        </w:rPr>
        <w:t>。</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7.3</w:t>
      </w:r>
      <w:r>
        <w:rPr>
          <w:rFonts w:hint="eastAsia" w:ascii="宋体" w:hAnsi="宋体"/>
          <w:color w:val="000000"/>
          <w:szCs w:val="21"/>
          <w:lang w:val="en-US" w:eastAsia="zh-CN"/>
        </w:rPr>
        <w:t xml:space="preserve"> </w:t>
      </w:r>
      <w:r>
        <w:rPr>
          <w:rFonts w:hint="eastAsia" w:ascii="宋体" w:hAnsi="宋体"/>
          <w:color w:val="000000"/>
          <w:szCs w:val="21"/>
        </w:rPr>
        <w:t>乙方在遴选响应文件、报价文件、洽谈记录或本合同签订过程中，就其主体资格、授权情况、产品功能、性能参数、业绩、人员配置等所作的陈述、承诺或提供的证明材料存在虚假、隐瞒或重大不实的，，经查实后甲方有权</w:t>
      </w:r>
      <w:r>
        <w:rPr>
          <w:rFonts w:hint="eastAsia" w:ascii="宋体" w:hAnsi="宋体"/>
          <w:color w:val="000000"/>
          <w:szCs w:val="21"/>
          <w:lang w:val="en-US" w:eastAsia="zh-CN"/>
        </w:rPr>
        <w:t>立即解除合同</w:t>
      </w:r>
      <w:r>
        <w:rPr>
          <w:rFonts w:hint="eastAsia" w:ascii="宋体" w:hAnsi="宋体"/>
          <w:color w:val="000000"/>
          <w:szCs w:val="21"/>
        </w:rPr>
        <w:t>，</w:t>
      </w:r>
      <w:r>
        <w:rPr>
          <w:rFonts w:hint="eastAsia" w:ascii="宋体" w:hAnsi="宋体"/>
          <w:color w:val="000000"/>
          <w:szCs w:val="21"/>
          <w:lang w:val="en-US" w:eastAsia="zh-CN"/>
        </w:rPr>
        <w:t>要求乙方全额退还已支付的全部款项，</w:t>
      </w:r>
      <w:r>
        <w:rPr>
          <w:rFonts w:hint="eastAsia" w:ascii="宋体" w:hAnsi="宋体"/>
          <w:color w:val="000000"/>
          <w:szCs w:val="21"/>
        </w:rPr>
        <w:t>赔偿甲方相关损失，同时报上级部门处理。</w:t>
      </w:r>
    </w:p>
    <w:p>
      <w:pPr>
        <w:pStyle w:val="20"/>
        <w:spacing w:line="360" w:lineRule="auto"/>
        <w:rPr>
          <w:rFonts w:hint="eastAsia" w:ascii="宋体" w:hAnsi="宋体"/>
          <w:color w:val="000000"/>
          <w:szCs w:val="21"/>
        </w:rPr>
      </w:pPr>
      <w:r>
        <w:rPr>
          <w:rFonts w:hint="eastAsia" w:ascii="宋体" w:hAnsi="宋体"/>
          <w:color w:val="000000"/>
          <w:szCs w:val="21"/>
        </w:rPr>
        <w:t>第八条 知识产权与保密</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8.1 乙方保证其所提供的软件产品拥有合法知识产权，不侵犯任何第三方的合法权益。如发生第三方主张侵权，乙方负责处理并承担</w:t>
      </w:r>
      <w:r>
        <w:rPr>
          <w:rFonts w:hint="eastAsia" w:ascii="宋体" w:hAnsi="宋体"/>
          <w:color w:val="000000"/>
          <w:szCs w:val="21"/>
          <w:lang w:val="en-US" w:eastAsia="zh-CN"/>
        </w:rPr>
        <w:t>由此产生的</w:t>
      </w:r>
      <w:r>
        <w:rPr>
          <w:rFonts w:hint="eastAsia" w:ascii="宋体" w:hAnsi="宋体"/>
          <w:color w:val="000000"/>
          <w:szCs w:val="21"/>
        </w:rPr>
        <w:t>全部责任</w:t>
      </w:r>
      <w:r>
        <w:rPr>
          <w:rFonts w:hint="eastAsia" w:ascii="宋体" w:hAnsi="宋体"/>
          <w:color w:val="000000"/>
          <w:szCs w:val="21"/>
          <w:lang w:val="en-US" w:eastAsia="zh-CN"/>
        </w:rPr>
        <w:t>和费用</w:t>
      </w:r>
      <w:r>
        <w:rPr>
          <w:rFonts w:hint="eastAsia" w:ascii="宋体" w:hAnsi="宋体"/>
          <w:color w:val="000000"/>
          <w:szCs w:val="21"/>
        </w:rPr>
        <w:t>。</w:t>
      </w:r>
    </w:p>
    <w:p>
      <w:pPr>
        <w:pStyle w:val="20"/>
        <w:spacing w:before="0" w:after="0" w:line="360" w:lineRule="auto"/>
        <w:ind w:left="420" w:hanging="420" w:hangingChars="200"/>
        <w:rPr>
          <w:rFonts w:hint="eastAsia" w:ascii="宋体" w:hAnsi="宋体"/>
          <w:color w:val="000000"/>
          <w:szCs w:val="21"/>
          <w:lang w:val="en-US" w:eastAsia="zh-CN"/>
        </w:rPr>
      </w:pPr>
      <w:r>
        <w:rPr>
          <w:rFonts w:hint="eastAsia" w:ascii="宋体" w:hAnsi="宋体"/>
          <w:color w:val="000000"/>
          <w:szCs w:val="21"/>
          <w:lang w:val="en-US" w:eastAsia="zh-CN"/>
        </w:rPr>
        <w:t>8.2 若本合同项下软件系统及其任何部分被依法认定为侵犯第三方的合法权利，或任何依约定使用该软件或行使任何由乙方授予的权利被认定为侵权，乙方应自收到甲方或第三方通知之日起15日内，自费完成下列任一补救措施，并经甲方书面确认：</w:t>
      </w:r>
    </w:p>
    <w:p>
      <w:pPr>
        <w:pStyle w:val="20"/>
        <w:spacing w:before="0" w:after="0" w:line="360" w:lineRule="auto"/>
        <w:ind w:left="420" w:hanging="420" w:hangingChars="200"/>
        <w:rPr>
          <w:rFonts w:hint="eastAsia" w:ascii="宋体" w:hAnsi="宋体"/>
          <w:color w:val="000000"/>
          <w:szCs w:val="21"/>
          <w:lang w:val="en-US" w:eastAsia="zh-CN"/>
        </w:rPr>
      </w:pPr>
      <w:r>
        <w:rPr>
          <w:rFonts w:hint="eastAsia" w:ascii="宋体" w:hAnsi="宋体"/>
          <w:color w:val="000000"/>
          <w:szCs w:val="21"/>
          <w:lang w:val="en-US" w:eastAsia="zh-CN"/>
        </w:rPr>
        <w:t>（一）以功能、性能、兼容性、安全性以及合规性均不低于原软件且不侵权的软件替换本软件；</w:t>
      </w:r>
    </w:p>
    <w:p>
      <w:pPr>
        <w:pStyle w:val="20"/>
        <w:spacing w:before="0" w:after="0" w:line="360" w:lineRule="auto"/>
        <w:ind w:left="420" w:hanging="420" w:hangingChars="200"/>
        <w:rPr>
          <w:rFonts w:hint="default" w:ascii="宋体" w:hAnsi="宋体" w:eastAsia="宋体"/>
          <w:color w:val="000000"/>
          <w:szCs w:val="21"/>
          <w:lang w:val="en-US" w:eastAsia="zh-CN"/>
        </w:rPr>
      </w:pPr>
      <w:r>
        <w:rPr>
          <w:rFonts w:hint="eastAsia" w:ascii="宋体" w:hAnsi="宋体"/>
          <w:color w:val="000000"/>
          <w:szCs w:val="21"/>
          <w:lang w:val="en-US" w:eastAsia="zh-CN"/>
        </w:rPr>
        <w:t>（二）取得相关授权，使甲方在原有许可范围内继续使用。</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8.</w:t>
      </w:r>
      <w:r>
        <w:rPr>
          <w:rFonts w:hint="eastAsia" w:ascii="宋体" w:hAnsi="宋体"/>
          <w:color w:val="000000"/>
          <w:szCs w:val="21"/>
          <w:lang w:val="en-US" w:eastAsia="zh-CN"/>
        </w:rPr>
        <w:t>3</w:t>
      </w:r>
      <w:r>
        <w:rPr>
          <w:rFonts w:hint="eastAsia" w:ascii="宋体" w:hAnsi="宋体"/>
          <w:color w:val="000000"/>
          <w:szCs w:val="21"/>
        </w:rPr>
        <w:t xml:space="preserve"> 乙方对在项目实施和运维过程中知悉的甲方商业秘密、患者信息及其他未公开数据负有严格保密义务，不得将上述信息用于本合同约定以外的任何用途。未经甲方书面同意，乙方不得将甲方数据提供给任何第三方。</w:t>
      </w:r>
    </w:p>
    <w:p>
      <w:pPr>
        <w:pStyle w:val="20"/>
        <w:spacing w:line="360" w:lineRule="auto"/>
        <w:ind w:left="0" w:firstLine="0"/>
        <w:rPr>
          <w:rFonts w:hint="eastAsia" w:ascii="宋体" w:hAnsi="宋体"/>
          <w:color w:val="000000"/>
          <w:szCs w:val="21"/>
        </w:rPr>
      </w:pPr>
      <w:r>
        <w:rPr>
          <w:rFonts w:hint="eastAsia" w:ascii="宋体" w:hAnsi="宋体"/>
          <w:color w:val="000000"/>
          <w:szCs w:val="21"/>
        </w:rPr>
        <w:t>8.</w:t>
      </w:r>
      <w:r>
        <w:rPr>
          <w:rFonts w:hint="eastAsia" w:ascii="宋体" w:hAnsi="宋体"/>
          <w:color w:val="000000"/>
          <w:szCs w:val="21"/>
          <w:lang w:val="en-US" w:eastAsia="zh-CN"/>
        </w:rPr>
        <w:t>4</w:t>
      </w:r>
      <w:r>
        <w:rPr>
          <w:rFonts w:hint="eastAsia" w:ascii="宋体" w:hAnsi="宋体"/>
          <w:color w:val="000000"/>
          <w:szCs w:val="21"/>
        </w:rPr>
        <w:t xml:space="preserve"> 本保密义务不因合同终止而失效，持续有效。</w:t>
      </w:r>
    </w:p>
    <w:p>
      <w:pPr>
        <w:pStyle w:val="20"/>
        <w:spacing w:line="360" w:lineRule="auto"/>
        <w:rPr>
          <w:rFonts w:hint="eastAsia" w:ascii="宋体" w:hAnsi="宋体"/>
          <w:color w:val="000000"/>
          <w:szCs w:val="21"/>
        </w:rPr>
      </w:pPr>
      <w:r>
        <w:rPr>
          <w:rFonts w:hint="eastAsia" w:ascii="宋体" w:hAnsi="宋体"/>
          <w:color w:val="000000"/>
          <w:szCs w:val="21"/>
        </w:rPr>
        <w:t>第九条 廉洁条款</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9.1 双方应严格遵守廉洁承诺，乙方不得以任何名义向甲方工作人员赠送礼品、礼金、有价证券等财物，不得以回扣、宴请等方式影响甲方工作人员采购或使用产品的选择权。</w:t>
      </w:r>
    </w:p>
    <w:p>
      <w:pPr>
        <w:pStyle w:val="20"/>
        <w:spacing w:before="0" w:after="0" w:line="360" w:lineRule="auto"/>
        <w:ind w:left="420" w:hanging="420" w:hangingChars="200"/>
        <w:rPr>
          <w:rFonts w:hint="eastAsia" w:ascii="宋体" w:hAnsi="宋体"/>
          <w:color w:val="000000"/>
          <w:szCs w:val="21"/>
        </w:rPr>
      </w:pPr>
      <w:r>
        <w:rPr>
          <w:rFonts w:hint="eastAsia" w:ascii="宋体" w:hAnsi="宋体"/>
          <w:color w:val="000000"/>
          <w:szCs w:val="21"/>
        </w:rPr>
        <w:t>9.2 乙方如被列入商业贿赂不良记录，甲方有权终止合同，并按有关规定处理</w:t>
      </w:r>
      <w:r>
        <w:rPr>
          <w:rFonts w:hint="eastAsia" w:ascii="宋体" w:hAnsi="宋体"/>
          <w:color w:val="000000"/>
          <w:szCs w:val="21"/>
          <w:lang w:eastAsia="zh-CN"/>
        </w:rPr>
        <w:t>，</w:t>
      </w:r>
      <w:r>
        <w:rPr>
          <w:rFonts w:hint="eastAsia" w:ascii="宋体" w:hAnsi="宋体"/>
          <w:color w:val="000000"/>
          <w:szCs w:val="21"/>
          <w:lang w:val="en-US" w:eastAsia="zh-CN"/>
        </w:rPr>
        <w:t>乙方应全额退还已收</w:t>
      </w:r>
      <w:r>
        <w:rPr>
          <w:rFonts w:hint="eastAsia" w:ascii="宋体" w:hAnsi="宋体" w:cs="Times New Roman"/>
          <w:color w:val="000000"/>
          <w:szCs w:val="21"/>
          <w:lang w:val="en-US" w:eastAsia="zh-CN"/>
        </w:rPr>
        <w:t>款</w:t>
      </w:r>
      <w:r>
        <w:rPr>
          <w:rFonts w:hint="eastAsia" w:ascii="宋体" w:hAnsi="宋体"/>
          <w:color w:val="000000"/>
          <w:szCs w:val="21"/>
          <w:lang w:val="en-US" w:eastAsia="zh-CN"/>
        </w:rPr>
        <w:t>项</w:t>
      </w:r>
      <w:r>
        <w:rPr>
          <w:rFonts w:hint="eastAsia" w:ascii="宋体" w:hAnsi="宋体"/>
          <w:color w:val="000000"/>
          <w:szCs w:val="21"/>
        </w:rPr>
        <w:t>。</w:t>
      </w:r>
    </w:p>
    <w:p>
      <w:pPr>
        <w:pStyle w:val="20"/>
        <w:spacing w:line="360" w:lineRule="auto"/>
        <w:rPr>
          <w:rFonts w:hint="eastAsia" w:ascii="宋体" w:hAnsi="宋体"/>
          <w:color w:val="000000"/>
          <w:szCs w:val="21"/>
        </w:rPr>
      </w:pPr>
      <w:r>
        <w:rPr>
          <w:rFonts w:hint="eastAsia" w:ascii="宋体" w:hAnsi="宋体"/>
          <w:color w:val="000000"/>
          <w:szCs w:val="21"/>
        </w:rPr>
        <w:t>第十条 争议解决</w:t>
      </w:r>
    </w:p>
    <w:p>
      <w:pPr>
        <w:pStyle w:val="20"/>
        <w:spacing w:before="0" w:after="0" w:line="360" w:lineRule="auto"/>
        <w:ind w:left="630" w:hanging="630" w:hangingChars="300"/>
        <w:rPr>
          <w:rFonts w:hint="eastAsia" w:ascii="宋体" w:hAnsi="宋体"/>
          <w:color w:val="000000"/>
          <w:szCs w:val="21"/>
        </w:rPr>
      </w:pPr>
      <w:r>
        <w:rPr>
          <w:rFonts w:hint="eastAsia" w:ascii="宋体" w:hAnsi="宋体"/>
          <w:color w:val="000000"/>
          <w:szCs w:val="21"/>
        </w:rPr>
        <w:t>10.1 本合同履行过程中发生争议，双方应友好协商解决；协商不成的，可向甲方所在地人民法院提起诉讼。</w:t>
      </w:r>
    </w:p>
    <w:p>
      <w:pPr>
        <w:pStyle w:val="20"/>
        <w:spacing w:line="360" w:lineRule="auto"/>
        <w:rPr>
          <w:rFonts w:hint="eastAsia" w:ascii="宋体" w:hAnsi="宋体"/>
          <w:color w:val="000000"/>
          <w:szCs w:val="21"/>
        </w:rPr>
      </w:pPr>
      <w:r>
        <w:rPr>
          <w:rFonts w:hint="eastAsia" w:ascii="宋体" w:hAnsi="宋体"/>
          <w:color w:val="000000"/>
          <w:szCs w:val="21"/>
        </w:rPr>
        <w:t>第十一条 合同生效与其他</w:t>
      </w:r>
    </w:p>
    <w:p>
      <w:pPr>
        <w:pStyle w:val="20"/>
        <w:spacing w:before="0" w:after="0" w:line="360" w:lineRule="auto"/>
        <w:ind w:left="630" w:hanging="630" w:hangingChars="300"/>
        <w:rPr>
          <w:rFonts w:hint="eastAsia" w:ascii="宋体" w:hAnsi="宋体"/>
          <w:color w:val="000000"/>
          <w:szCs w:val="21"/>
        </w:rPr>
      </w:pPr>
      <w:r>
        <w:rPr>
          <w:rFonts w:hint="eastAsia" w:ascii="宋体" w:hAnsi="宋体"/>
          <w:color w:val="000000"/>
          <w:szCs w:val="21"/>
        </w:rPr>
        <w:t>11.1 本合同一式_</w:t>
      </w:r>
      <w:r>
        <w:rPr>
          <w:rFonts w:hint="eastAsia" w:ascii="宋体" w:hAnsi="宋体"/>
          <w:color w:val="000000"/>
          <w:szCs w:val="21"/>
          <w:lang w:val="en-US" w:eastAsia="zh-CN"/>
        </w:rPr>
        <w:t>叁</w:t>
      </w:r>
      <w:r>
        <w:rPr>
          <w:rFonts w:hint="eastAsia" w:ascii="宋体" w:hAnsi="宋体"/>
          <w:color w:val="000000"/>
          <w:szCs w:val="21"/>
        </w:rPr>
        <w:t>_份，甲方持_</w:t>
      </w:r>
      <w:r>
        <w:rPr>
          <w:rFonts w:hint="eastAsia" w:ascii="宋体" w:hAnsi="宋体"/>
          <w:color w:val="000000"/>
          <w:szCs w:val="21"/>
          <w:lang w:val="en-US" w:eastAsia="zh-CN"/>
        </w:rPr>
        <w:t>贰</w:t>
      </w:r>
      <w:r>
        <w:rPr>
          <w:rFonts w:hint="eastAsia" w:ascii="宋体" w:hAnsi="宋体"/>
          <w:color w:val="000000"/>
          <w:szCs w:val="21"/>
        </w:rPr>
        <w:t>_份，乙方持_</w:t>
      </w:r>
      <w:r>
        <w:rPr>
          <w:rFonts w:hint="eastAsia" w:ascii="宋体" w:hAnsi="宋体"/>
          <w:color w:val="000000"/>
          <w:szCs w:val="21"/>
          <w:lang w:val="en-US" w:eastAsia="zh-CN"/>
        </w:rPr>
        <w:t>壹</w:t>
      </w:r>
      <w:r>
        <w:rPr>
          <w:rFonts w:hint="eastAsia" w:ascii="宋体" w:hAnsi="宋体"/>
          <w:color w:val="000000"/>
          <w:szCs w:val="21"/>
        </w:rPr>
        <w:t>_份，具有同等法律效力，自双方法定代表人或授权代表签字并盖章之日起生效。</w:t>
      </w:r>
    </w:p>
    <w:p>
      <w:pPr>
        <w:pStyle w:val="20"/>
        <w:spacing w:before="0" w:after="0" w:line="360" w:lineRule="auto"/>
        <w:ind w:left="630" w:hanging="630" w:hangingChars="300"/>
        <w:rPr>
          <w:rFonts w:hint="eastAsia" w:ascii="宋体" w:hAnsi="宋体"/>
          <w:color w:val="000000"/>
          <w:szCs w:val="21"/>
        </w:rPr>
      </w:pPr>
      <w:r>
        <w:rPr>
          <w:rFonts w:hint="eastAsia" w:ascii="宋体" w:hAnsi="宋体"/>
          <w:color w:val="000000"/>
          <w:szCs w:val="21"/>
        </w:rPr>
        <w:t>11.2 附件（遴选文件、乙方响应文件、报价一览表等）为本合同不可分割的组成部分，与本合同具有同等法律效力。</w:t>
      </w:r>
    </w:p>
    <w:p>
      <w:pPr>
        <w:pStyle w:val="20"/>
        <w:spacing w:line="360" w:lineRule="auto"/>
        <w:rPr>
          <w:rFonts w:hint="eastAsia" w:ascii="宋体" w:hAnsi="宋体"/>
          <w:color w:val="000000"/>
          <w:szCs w:val="21"/>
        </w:rPr>
      </w:pPr>
    </w:p>
    <w:p>
      <w:pPr>
        <w:spacing w:line="240" w:lineRule="atLeast"/>
        <w:rPr>
          <w:sz w:val="22"/>
          <w:szCs w:val="22"/>
        </w:rPr>
      </w:pPr>
      <w:r>
        <w:rPr>
          <w:rFonts w:hint="eastAsia"/>
          <w:sz w:val="22"/>
          <w:szCs w:val="22"/>
        </w:rPr>
        <w:t>甲方（盖章）：</w:t>
      </w:r>
      <w:r>
        <w:rPr>
          <w:sz w:val="22"/>
          <w:szCs w:val="22"/>
        </w:rPr>
        <w:t xml:space="preserve"> </w:t>
      </w:r>
      <w:r>
        <w:rPr>
          <w:rFonts w:hint="eastAsia"/>
          <w:sz w:val="22"/>
          <w:szCs w:val="22"/>
        </w:rPr>
        <w:t>温州市中医院</w:t>
      </w:r>
      <w:r>
        <w:rPr>
          <w:sz w:val="22"/>
          <w:szCs w:val="22"/>
        </w:rPr>
        <w:tab/>
      </w:r>
      <w:r>
        <w:rPr>
          <w:sz w:val="22"/>
          <w:szCs w:val="22"/>
        </w:rPr>
        <w:tab/>
      </w:r>
      <w:r>
        <w:rPr>
          <w:sz w:val="22"/>
          <w:szCs w:val="22"/>
        </w:rPr>
        <w:tab/>
      </w:r>
      <w:r>
        <w:rPr>
          <w:sz w:val="22"/>
          <w:szCs w:val="22"/>
        </w:rPr>
        <w:tab/>
      </w:r>
      <w:r>
        <w:rPr>
          <w:sz w:val="22"/>
          <w:szCs w:val="22"/>
        </w:rPr>
        <w:tab/>
      </w:r>
      <w:r>
        <w:rPr>
          <w:rFonts w:hint="eastAsia"/>
          <w:sz w:val="22"/>
          <w:szCs w:val="22"/>
        </w:rPr>
        <w:t>乙方（盖章）：</w:t>
      </w:r>
      <w:r>
        <w:rPr>
          <w:sz w:val="22"/>
          <w:szCs w:val="22"/>
        </w:rPr>
        <w:t xml:space="preserve"> </w:t>
      </w:r>
    </w:p>
    <w:p>
      <w:pPr>
        <w:spacing w:line="240" w:lineRule="atLeast"/>
        <w:rPr>
          <w:sz w:val="22"/>
          <w:szCs w:val="22"/>
        </w:rPr>
      </w:pPr>
    </w:p>
    <w:p>
      <w:pPr>
        <w:spacing w:line="240" w:lineRule="atLeast"/>
        <w:rPr>
          <w:sz w:val="22"/>
          <w:szCs w:val="22"/>
        </w:rPr>
      </w:pPr>
      <w:r>
        <w:rPr>
          <w:rFonts w:hint="eastAsia"/>
          <w:sz w:val="22"/>
          <w:szCs w:val="22"/>
        </w:rPr>
        <w:t>地址：温州市六虹桥路蛟尾路</w:t>
      </w:r>
      <w:r>
        <w:rPr>
          <w:sz w:val="22"/>
          <w:szCs w:val="22"/>
        </w:rPr>
        <w:t>9</w:t>
      </w:r>
      <w:r>
        <w:rPr>
          <w:rFonts w:hint="eastAsia"/>
          <w:sz w:val="22"/>
          <w:szCs w:val="22"/>
        </w:rPr>
        <w:t>号</w:t>
      </w:r>
      <w:r>
        <w:rPr>
          <w:sz w:val="22"/>
          <w:szCs w:val="22"/>
        </w:rPr>
        <w:tab/>
      </w:r>
      <w:r>
        <w:rPr>
          <w:sz w:val="22"/>
          <w:szCs w:val="22"/>
        </w:rPr>
        <w:tab/>
      </w:r>
      <w:r>
        <w:rPr>
          <w:sz w:val="22"/>
          <w:szCs w:val="22"/>
        </w:rPr>
        <w:tab/>
      </w:r>
      <w:r>
        <w:rPr>
          <w:sz w:val="22"/>
          <w:szCs w:val="22"/>
        </w:rPr>
        <w:tab/>
      </w:r>
      <w:r>
        <w:rPr>
          <w:sz w:val="22"/>
          <w:szCs w:val="22"/>
        </w:rPr>
        <w:tab/>
      </w:r>
      <w:r>
        <w:rPr>
          <w:rFonts w:hint="eastAsia"/>
          <w:sz w:val="22"/>
          <w:szCs w:val="22"/>
        </w:rPr>
        <w:t>地址：</w:t>
      </w:r>
    </w:p>
    <w:p>
      <w:pPr>
        <w:spacing w:line="240" w:lineRule="atLeast"/>
        <w:rPr>
          <w:sz w:val="22"/>
          <w:szCs w:val="22"/>
        </w:rPr>
      </w:pPr>
    </w:p>
    <w:p>
      <w:pPr>
        <w:spacing w:line="240" w:lineRule="atLeast"/>
        <w:rPr>
          <w:sz w:val="22"/>
          <w:szCs w:val="22"/>
        </w:rPr>
      </w:pPr>
      <w:r>
        <w:rPr>
          <w:rFonts w:hint="eastAsia"/>
          <w:sz w:val="22"/>
          <w:szCs w:val="22"/>
        </w:rPr>
        <w:t>法定（授权）代表人：</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rFonts w:hint="eastAsia"/>
          <w:sz w:val="22"/>
          <w:szCs w:val="22"/>
        </w:rPr>
        <w:t>法定（授权）代表人：</w:t>
      </w:r>
    </w:p>
    <w:p>
      <w:pPr>
        <w:spacing w:line="240" w:lineRule="atLeast"/>
        <w:rPr>
          <w:sz w:val="22"/>
          <w:szCs w:val="22"/>
        </w:rPr>
      </w:pPr>
    </w:p>
    <w:p>
      <w:pPr>
        <w:spacing w:line="240" w:lineRule="atLeast"/>
        <w:rPr>
          <w:sz w:val="22"/>
          <w:szCs w:val="22"/>
        </w:rPr>
      </w:pPr>
      <w:r>
        <w:rPr>
          <w:rFonts w:hint="eastAsia"/>
          <w:sz w:val="22"/>
          <w:szCs w:val="22"/>
        </w:rPr>
        <w:t>签字日期：</w:t>
      </w:r>
      <w:r>
        <w:rPr>
          <w:sz w:val="22"/>
          <w:szCs w:val="22"/>
        </w:rPr>
        <w:t xml:space="preserve"> </w:t>
      </w:r>
      <w:r>
        <w:rPr>
          <w:rFonts w:hint="eastAsia"/>
          <w:sz w:val="22"/>
          <w:szCs w:val="22"/>
          <w:lang w:val="en-US" w:eastAsia="zh-CN"/>
        </w:rPr>
        <w:t xml:space="preserve">  </w:t>
      </w:r>
      <w:r>
        <w:rPr>
          <w:sz w:val="22"/>
          <w:szCs w:val="22"/>
        </w:rPr>
        <w:t xml:space="preserve"> </w:t>
      </w:r>
      <w:r>
        <w:rPr>
          <w:rFonts w:hint="eastAsia"/>
          <w:sz w:val="22"/>
          <w:szCs w:val="22"/>
        </w:rPr>
        <w:t>年</w:t>
      </w:r>
      <w:r>
        <w:rPr>
          <w:sz w:val="22"/>
          <w:szCs w:val="22"/>
        </w:rPr>
        <w:t xml:space="preserve">  </w:t>
      </w:r>
      <w:r>
        <w:rPr>
          <w:rFonts w:hint="eastAsia"/>
          <w:sz w:val="22"/>
          <w:szCs w:val="22"/>
          <w:lang w:val="en-US" w:eastAsia="zh-CN"/>
        </w:rPr>
        <w:t xml:space="preserve"> </w:t>
      </w:r>
      <w:r>
        <w:rPr>
          <w:rFonts w:hint="eastAsia"/>
          <w:sz w:val="22"/>
          <w:szCs w:val="22"/>
        </w:rPr>
        <w:t>月</w:t>
      </w:r>
      <w:r>
        <w:rPr>
          <w:sz w:val="22"/>
          <w:szCs w:val="22"/>
        </w:rPr>
        <w:t xml:space="preserve">  </w:t>
      </w:r>
      <w:r>
        <w:rPr>
          <w:rFonts w:hint="eastAsia"/>
          <w:sz w:val="22"/>
          <w:szCs w:val="22"/>
          <w:lang w:val="en-US" w:eastAsia="zh-CN"/>
        </w:rPr>
        <w:t xml:space="preserve"> </w:t>
      </w:r>
      <w:r>
        <w:rPr>
          <w:rFonts w:hint="eastAsia"/>
          <w:sz w:val="22"/>
          <w:szCs w:val="22"/>
        </w:rPr>
        <w:t>日</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rFonts w:hint="eastAsia"/>
          <w:sz w:val="22"/>
          <w:szCs w:val="22"/>
        </w:rPr>
        <w:t>签字日期：</w:t>
      </w:r>
      <w:r>
        <w:rPr>
          <w:sz w:val="22"/>
          <w:szCs w:val="22"/>
        </w:rPr>
        <w:t xml:space="preserve">  </w:t>
      </w:r>
      <w:r>
        <w:rPr>
          <w:rFonts w:hint="eastAsia"/>
          <w:sz w:val="22"/>
          <w:szCs w:val="22"/>
          <w:lang w:val="en-US" w:eastAsia="zh-CN"/>
        </w:rPr>
        <w:t xml:space="preserve">  </w:t>
      </w:r>
      <w:r>
        <w:rPr>
          <w:rFonts w:hint="eastAsia"/>
          <w:sz w:val="22"/>
          <w:szCs w:val="22"/>
        </w:rPr>
        <w:t>年</w:t>
      </w:r>
      <w:r>
        <w:rPr>
          <w:sz w:val="22"/>
          <w:szCs w:val="22"/>
        </w:rPr>
        <w:t xml:space="preserve"> </w:t>
      </w:r>
      <w:r>
        <w:rPr>
          <w:rFonts w:hint="eastAsia"/>
          <w:sz w:val="22"/>
          <w:szCs w:val="22"/>
          <w:lang w:val="en-US" w:eastAsia="zh-CN"/>
        </w:rPr>
        <w:t xml:space="preserve"> </w:t>
      </w:r>
      <w:r>
        <w:rPr>
          <w:sz w:val="22"/>
          <w:szCs w:val="22"/>
        </w:rPr>
        <w:t xml:space="preserve"> </w:t>
      </w:r>
      <w:r>
        <w:rPr>
          <w:rFonts w:hint="eastAsia"/>
          <w:sz w:val="22"/>
          <w:szCs w:val="22"/>
        </w:rPr>
        <w:t>月</w:t>
      </w:r>
      <w:r>
        <w:rPr>
          <w:sz w:val="22"/>
          <w:szCs w:val="22"/>
        </w:rPr>
        <w:t xml:space="preserve">  </w:t>
      </w:r>
      <w:r>
        <w:rPr>
          <w:rFonts w:hint="eastAsia"/>
          <w:sz w:val="22"/>
          <w:szCs w:val="22"/>
          <w:lang w:val="en-US" w:eastAsia="zh-CN"/>
        </w:rPr>
        <w:t xml:space="preserve"> </w:t>
      </w:r>
      <w:r>
        <w:rPr>
          <w:rFonts w:hint="eastAsia"/>
          <w:sz w:val="22"/>
          <w:szCs w:val="22"/>
        </w:rPr>
        <w:t>日</w:t>
      </w:r>
    </w:p>
    <w:p>
      <w:pPr>
        <w:rPr>
          <w:sz w:val="22"/>
          <w:szCs w:val="22"/>
        </w:rPr>
      </w:pPr>
    </w:p>
    <w:p>
      <w:pPr>
        <w:pStyle w:val="20"/>
        <w:spacing w:line="360" w:lineRule="auto"/>
        <w:rPr>
          <w:rFonts w:hint="eastAsia" w:ascii="宋体" w:hAnsi="宋体"/>
          <w:color w:val="000000"/>
          <w:sz w:val="22"/>
          <w:szCs w:val="22"/>
        </w:rPr>
      </w:pPr>
    </w:p>
    <w:p>
      <w:pPr>
        <w:pStyle w:val="20"/>
        <w:spacing w:line="360" w:lineRule="auto"/>
        <w:rPr>
          <w:rFonts w:hint="eastAsia" w:ascii="宋体" w:hAnsi="宋体"/>
          <w:color w:val="000000"/>
          <w:sz w:val="22"/>
          <w:szCs w:val="22"/>
        </w:rPr>
      </w:pPr>
    </w:p>
    <w:p>
      <w:pPr>
        <w:pStyle w:val="20"/>
        <w:spacing w:line="360" w:lineRule="auto"/>
        <w:rPr>
          <w:rFonts w:hint="eastAsia" w:ascii="宋体" w:hAnsi="宋体"/>
          <w:color w:val="000000"/>
          <w:szCs w:val="21"/>
        </w:rPr>
      </w:pPr>
    </w:p>
    <w:p>
      <w:pPr>
        <w:pStyle w:val="20"/>
        <w:spacing w:line="360" w:lineRule="auto"/>
        <w:rPr>
          <w:rFonts w:hint="eastAsia" w:ascii="宋体" w:hAnsi="宋体"/>
          <w:color w:val="000000"/>
          <w:szCs w:val="21"/>
        </w:rPr>
      </w:pPr>
    </w:p>
    <w:p>
      <w:pPr>
        <w:pStyle w:val="20"/>
        <w:spacing w:line="360" w:lineRule="auto"/>
        <w:rPr>
          <w:rFonts w:hint="eastAsia" w:ascii="宋体" w:hAnsi="宋体"/>
          <w:color w:val="000000"/>
          <w:szCs w:val="21"/>
        </w:rPr>
      </w:pPr>
    </w:p>
    <w:p>
      <w:pPr>
        <w:pStyle w:val="20"/>
        <w:spacing w:line="360" w:lineRule="auto"/>
        <w:ind w:left="0" w:leftChars="0" w:firstLine="0" w:firstLineChars="0"/>
        <w:rPr>
          <w:rFonts w:hint="eastAsia" w:ascii="宋体" w:hAnsi="宋体"/>
          <w:color w:val="000000"/>
          <w:szCs w:val="21"/>
        </w:rPr>
      </w:pPr>
    </w:p>
    <w:p>
      <w:pPr>
        <w:pStyle w:val="20"/>
        <w:spacing w:line="360" w:lineRule="auto"/>
        <w:rPr>
          <w:rFonts w:hint="eastAsia" w:ascii="宋体" w:hAnsi="宋体"/>
          <w:b/>
          <w:bCs/>
          <w:color w:val="000000"/>
          <w:sz w:val="24"/>
          <w:szCs w:val="24"/>
          <w:lang w:val="en-US" w:eastAsia="zh-CN"/>
        </w:rPr>
      </w:pPr>
      <w:r>
        <w:rPr>
          <w:rFonts w:hint="eastAsia" w:ascii="宋体" w:hAnsi="宋体"/>
          <w:b/>
          <w:bCs/>
          <w:color w:val="000000"/>
          <w:sz w:val="24"/>
          <w:szCs w:val="24"/>
          <w:lang w:val="en-US" w:eastAsia="zh-CN"/>
        </w:rPr>
        <w:t>附件：</w:t>
      </w:r>
    </w:p>
    <w:tbl>
      <w:tblPr>
        <w:tblStyle w:val="16"/>
        <w:tblW w:w="10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920"/>
        <w:gridCol w:w="8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编号</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功能</w:t>
            </w:r>
          </w:p>
        </w:tc>
        <w:tc>
          <w:tcPr>
            <w:tcW w:w="8201"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01</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开发环境</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提供完整的开发环境、运行环境和集中管理监控环境。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02</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部署环境</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★开发环境、运行环境、集中管理监控环境支持内外网络部署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03</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界面应用</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提供对各类界面元素的识别、定位、操作的功能，包括但不仅限于网页类界面和本地化应用类界面，拥有AI识别能力的CV模型，可适用于任何无法识别的系统流程自动化。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04</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界面功能</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提供对界面元素中的文本、按钮和图像等进行识别和操作的功能，包括但不仅限于鼠标点击、移动等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05</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办公套件支持</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★提供对主流办公套件包括但不仅限于：Office，PDF的操作能力，能够新建、读取、修改、保存相关文件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06</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常用软件支持</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提供对常用IM软件包括但不仅限于：QQ、微信、企业微信、钉钉等的操作能力，能够实现自动化的消息读取、发送操作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07</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浏览器支持</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★提供针对主流浏览器包括但不仅限于IE、Firefox、Chrome的基本操作功能，包括但不仅限于新建和关闭标签、加载网页、读取源码等。具备在浏览器环境执行Javascript的能力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08</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界面数据抓取</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提供网页和界面多行数据批量抓取、翻页抓取功能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09</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流程开发</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★具备一个主流程和多个辅助流程并行执行能力；具备对开发中的流程进行标准化规则分析的能力；调试具备单步调试，条件调试，慢节奏调试，远程调试等。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10</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自动化组件</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提供端到端流程自动化人参与其中的组件：行动平台。通过行动平台，用户可完成机器人的最大化利用，并使用户体验最佳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11</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版本</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专业版本和公民开发者两种模式的开发环境，专业版本支持极低代码量的拖拉形式的通用流程编译，的能够提供程序调试功能包括但不仅限于：设置断点、变量跟踪、单步执行、日志输出。公民版支持基本无代码的OFFICE，SAP,网页等应用级别组件的拖拉形式完成流程的编译，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12</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代码管理</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提供代码的版本管理功能，支持SVN，GIT集成等，提供各版本与当前代码之间差异分析功能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1</w:t>
            </w:r>
            <w:r>
              <w:rPr>
                <w:rFonts w:hint="eastAsia" w:ascii="宋体" w:hAnsi="宋体" w:eastAsia="宋体" w:cs="宋体"/>
                <w:color w:val="000000" w:themeColor="text1"/>
                <w:sz w:val="22"/>
                <w:szCs w:val="22"/>
                <w:lang w:val="en-US" w:eastAsia="zh-CN"/>
              </w:rPr>
              <w:t>3</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语言扩展</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提供通过第三方语言编写扩展的功能，包括但不仅限于.Net、Python、Java语言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1</w:t>
            </w:r>
            <w:r>
              <w:rPr>
                <w:rFonts w:hint="eastAsia" w:ascii="宋体" w:hAnsi="宋体" w:eastAsia="宋体" w:cs="宋体"/>
                <w:color w:val="000000" w:themeColor="text1"/>
                <w:sz w:val="22"/>
                <w:szCs w:val="22"/>
                <w:lang w:val="en-US" w:eastAsia="zh-CN"/>
              </w:rPr>
              <w:t>4</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密码管理</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提供账户密码管理功能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1</w:t>
            </w:r>
            <w:r>
              <w:rPr>
                <w:rFonts w:hint="eastAsia" w:ascii="宋体" w:hAnsi="宋体" w:eastAsia="宋体" w:cs="宋体"/>
                <w:color w:val="000000" w:themeColor="text1"/>
                <w:sz w:val="22"/>
                <w:szCs w:val="22"/>
                <w:lang w:val="en-US" w:eastAsia="zh-CN"/>
              </w:rPr>
              <w:t>5</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用户权限</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提供多层级组织架构和基于角色的用户权限管理功能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1</w:t>
            </w:r>
            <w:r>
              <w:rPr>
                <w:rFonts w:hint="eastAsia" w:ascii="宋体" w:hAnsi="宋体" w:eastAsia="宋体" w:cs="宋体"/>
                <w:color w:val="000000" w:themeColor="text1"/>
                <w:sz w:val="22"/>
                <w:szCs w:val="22"/>
                <w:lang w:val="en-US" w:eastAsia="zh-CN"/>
              </w:rPr>
              <w:t>6</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流程任务</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提供通过管理端对指定执行端下发流程任务的功能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1</w:t>
            </w:r>
            <w:r>
              <w:rPr>
                <w:rFonts w:hint="eastAsia" w:ascii="宋体" w:hAnsi="宋体" w:eastAsia="宋体" w:cs="宋体"/>
                <w:color w:val="000000" w:themeColor="text1"/>
                <w:sz w:val="22"/>
                <w:szCs w:val="22"/>
                <w:lang w:val="en-US" w:eastAsia="zh-CN"/>
              </w:rPr>
              <w:t>7</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版本功能</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提供在执行端执行不同版本的流程的功能，并提供版本的回溯功能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18</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参数管理</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提供流程执行的参数管理功能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19</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监控功能</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提供多维度查看和监控执行端使用情况功能，提供统计汇总和明细数据功能，包括但不仅限于：部门、运行时长等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20</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扩展性</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具备后期与AI平台对接的扩展性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2</w:t>
            </w:r>
            <w:r>
              <w:rPr>
                <w:rFonts w:hint="eastAsia" w:ascii="宋体" w:hAnsi="宋体" w:eastAsia="宋体" w:cs="宋体"/>
                <w:color w:val="000000" w:themeColor="text1"/>
                <w:sz w:val="22"/>
                <w:szCs w:val="22"/>
                <w:lang w:val="en-US" w:eastAsia="zh-CN"/>
              </w:rPr>
              <w:t>1</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授权功能</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lang w:val="en-US" w:eastAsia="zh-CN"/>
              </w:rPr>
              <w:t>系统</w:t>
            </w:r>
            <w:r>
              <w:rPr>
                <w:rFonts w:hint="eastAsia" w:ascii="宋体" w:hAnsi="宋体" w:eastAsia="宋体" w:cs="宋体"/>
                <w:color w:val="000000" w:themeColor="text1"/>
                <w:sz w:val="22"/>
                <w:szCs w:val="22"/>
              </w:rPr>
              <w:t>和设计器均支持多种授权模式，包括但不仅限于绑定控制器和单独授权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2</w:t>
            </w:r>
            <w:r>
              <w:rPr>
                <w:rFonts w:hint="eastAsia" w:ascii="宋体" w:hAnsi="宋体" w:eastAsia="宋体" w:cs="宋体"/>
                <w:color w:val="000000" w:themeColor="text1"/>
                <w:sz w:val="22"/>
                <w:szCs w:val="22"/>
                <w:lang w:val="en-US" w:eastAsia="zh-CN"/>
              </w:rPr>
              <w:t>2</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执行功能</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支持手工执行和按计划任务自动执行；支持接收来自控制器的控制按周期执行任务或者按照队列数据进行流程触发执行；支持独立导入流程任务；自动化流程执行后，</w:t>
            </w:r>
            <w:r>
              <w:rPr>
                <w:rFonts w:hint="eastAsia" w:ascii="宋体" w:hAnsi="宋体" w:eastAsia="宋体" w:cs="宋体"/>
                <w:color w:val="000000" w:themeColor="text1"/>
                <w:sz w:val="22"/>
                <w:szCs w:val="22"/>
                <w:lang w:val="en-US" w:eastAsia="zh-CN"/>
              </w:rPr>
              <w:t>系统</w:t>
            </w:r>
            <w:r>
              <w:rPr>
                <w:rFonts w:hint="eastAsia" w:ascii="宋体" w:hAnsi="宋体" w:eastAsia="宋体" w:cs="宋体"/>
                <w:color w:val="000000" w:themeColor="text1"/>
                <w:sz w:val="22"/>
                <w:szCs w:val="22"/>
              </w:rPr>
              <w:t>记录运行日志并可供查看；支持日历导入，根据定制日历来设置非工作日进行流程运行频率设置。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2</w:t>
            </w:r>
            <w:r>
              <w:rPr>
                <w:rFonts w:hint="eastAsia" w:ascii="宋体" w:hAnsi="宋体" w:eastAsia="宋体" w:cs="宋体"/>
                <w:color w:val="000000" w:themeColor="text1"/>
                <w:sz w:val="22"/>
                <w:szCs w:val="22"/>
                <w:lang w:val="en-US" w:eastAsia="zh-CN"/>
              </w:rPr>
              <w:t>3</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Windows部署</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★支持Windows（Win7及以上版本）、操作系统的安装和部署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2</w:t>
            </w:r>
            <w:r>
              <w:rPr>
                <w:rFonts w:hint="eastAsia" w:ascii="宋体" w:hAnsi="宋体" w:eastAsia="宋体" w:cs="宋体"/>
                <w:color w:val="000000" w:themeColor="text1"/>
                <w:sz w:val="22"/>
                <w:szCs w:val="22"/>
                <w:lang w:val="en-US" w:eastAsia="zh-CN"/>
              </w:rPr>
              <w:t>4</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低代码平台</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提供低代码平台App选项让用户自行创建门户网站统一调度机器人运行中心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2</w:t>
            </w:r>
            <w:r>
              <w:rPr>
                <w:rFonts w:hint="eastAsia" w:ascii="宋体" w:hAnsi="宋体" w:eastAsia="宋体" w:cs="宋体"/>
                <w:color w:val="000000" w:themeColor="text1"/>
                <w:sz w:val="22"/>
                <w:szCs w:val="22"/>
                <w:lang w:val="en-US" w:eastAsia="zh-CN"/>
              </w:rPr>
              <w:t>5</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存储流程</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设计器提供Data Service可存储流程运行产生的数据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2</w:t>
            </w:r>
            <w:r>
              <w:rPr>
                <w:rFonts w:hint="eastAsia" w:ascii="宋体" w:hAnsi="宋体" w:eastAsia="宋体" w:cs="宋体"/>
                <w:color w:val="000000" w:themeColor="text1"/>
                <w:sz w:val="22"/>
                <w:szCs w:val="22"/>
                <w:lang w:val="en-US" w:eastAsia="zh-CN"/>
              </w:rPr>
              <w:t>6</w:t>
            </w:r>
          </w:p>
        </w:tc>
        <w:tc>
          <w:tcPr>
            <w:tcW w:w="1920"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平台扩展工具</w:t>
            </w:r>
          </w:p>
        </w:tc>
        <w:tc>
          <w:tcPr>
            <w:tcW w:w="8201" w:type="dxa"/>
            <w:vAlign w:val="center"/>
          </w:tcPr>
          <w:p>
            <w:pPr>
              <w:spacing w:line="360" w:lineRule="auto"/>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提供支持流程挖掘和流程需求分析的工具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27</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自动化测试组件</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提供自动化测试组件可用于</w:t>
            </w:r>
            <w:r>
              <w:rPr>
                <w:rFonts w:hint="eastAsia" w:ascii="宋体" w:hAnsi="宋体" w:eastAsia="宋体" w:cs="宋体"/>
                <w:color w:val="000000" w:themeColor="text1"/>
                <w:sz w:val="22"/>
                <w:szCs w:val="22"/>
                <w:lang w:val="en-US" w:eastAsia="zh-CN"/>
              </w:rPr>
              <w:t>系统</w:t>
            </w:r>
            <w:r>
              <w:rPr>
                <w:rFonts w:hint="eastAsia" w:ascii="宋体" w:hAnsi="宋体" w:eastAsia="宋体" w:cs="宋体"/>
                <w:color w:val="000000" w:themeColor="text1"/>
                <w:sz w:val="22"/>
                <w:szCs w:val="22"/>
              </w:rPr>
              <w:t>测试+应用测试（包括手机端应用）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28</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兼容性</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需能兼容原有流程的运行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29</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升级和部署</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支持由平台统一推送软件升级包或者安装包到客户端进行升级或者安装；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30</w:t>
            </w:r>
          </w:p>
        </w:tc>
        <w:tc>
          <w:tcPr>
            <w:tcW w:w="1920" w:type="dxa"/>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流程运维</w:t>
            </w:r>
          </w:p>
        </w:tc>
        <w:tc>
          <w:tcPr>
            <w:tcW w:w="8201" w:type="dxa"/>
            <w:vAlign w:val="center"/>
          </w:tcPr>
          <w:p>
            <w:pPr>
              <w:spacing w:line="460" w:lineRule="exac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具备对流程运行过程进行监控的能力，可以由监控系统生成流程运行视频和截图。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31</w:t>
            </w:r>
          </w:p>
        </w:tc>
        <w:tc>
          <w:tcPr>
            <w:tcW w:w="1920" w:type="dxa"/>
            <w:vMerge w:val="restart"/>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bCs/>
                <w:spacing w:val="-6"/>
                <w:sz w:val="22"/>
                <w:szCs w:val="22"/>
                <w:lang w:val="en-US" w:eastAsia="zh-CN"/>
              </w:rPr>
              <w:t>★</w:t>
            </w:r>
            <w:r>
              <w:rPr>
                <w:rFonts w:hint="eastAsia" w:ascii="宋体" w:hAnsi="宋体" w:eastAsia="宋体" w:cs="宋体"/>
                <w:color w:val="000000" w:themeColor="text1"/>
                <w:sz w:val="22"/>
                <w:szCs w:val="22"/>
              </w:rPr>
              <w:t>下载日期选择自动化</w:t>
            </w: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日历提示框清晰标注可下载日期区间，自动屏蔽无效日期（如无数据日期）。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6"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支持批量导入Excel格式的日期列表，一次性触发多批次文档下载。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32</w:t>
            </w:r>
          </w:p>
        </w:tc>
        <w:tc>
          <w:tcPr>
            <w:tcW w:w="1920" w:type="dxa"/>
            <w:vMerge w:val="restart"/>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bCs/>
                <w:spacing w:val="-6"/>
                <w:sz w:val="22"/>
                <w:szCs w:val="22"/>
                <w:lang w:val="en-US" w:eastAsia="zh-CN"/>
              </w:rPr>
              <w:t>★</w:t>
            </w:r>
            <w:r>
              <w:rPr>
                <w:rFonts w:hint="eastAsia" w:ascii="宋体" w:hAnsi="宋体" w:eastAsia="宋体" w:cs="宋体"/>
                <w:color w:val="000000" w:themeColor="text1"/>
                <w:sz w:val="22"/>
                <w:szCs w:val="22"/>
              </w:rPr>
              <w:t>SPD文档自动下载</w:t>
            </w: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支持多条件组合筛选目标文档（如“2026年3月+XX供应商+药品采购”），条件可动态配置。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下载完成后自动校验文件完整性（MD5校验），损坏文件自动重新下载。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下载日志支持按日期、供应商、文档类型等维度检索查询。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33</w:t>
            </w:r>
          </w:p>
        </w:tc>
        <w:tc>
          <w:tcPr>
            <w:tcW w:w="1920" w:type="dxa"/>
            <w:vMerge w:val="restart"/>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bCs/>
                <w:spacing w:val="-6"/>
                <w:sz w:val="22"/>
                <w:szCs w:val="22"/>
                <w:lang w:val="en-US" w:eastAsia="zh-CN"/>
              </w:rPr>
              <w:t>★</w:t>
            </w:r>
            <w:r>
              <w:rPr>
                <w:rFonts w:hint="eastAsia" w:ascii="宋体" w:hAnsi="宋体" w:eastAsia="宋体" w:cs="宋体"/>
                <w:color w:val="000000" w:themeColor="text1"/>
                <w:sz w:val="22"/>
                <w:szCs w:val="22"/>
              </w:rPr>
              <w:t>Excel数据筛选汇总自动化</w:t>
            </w: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自动识别Excel表头，支持批量配置筛选规则并一键应用，无需手动调整表头映射。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汇总报表支持自定义格式（字体、颜色、数据透视表），支持导出Excel/PDF格式。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自动标记异常数据（空值、超范围值），生成异常清单并关联原始数据。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18"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34</w:t>
            </w:r>
          </w:p>
        </w:tc>
        <w:tc>
          <w:tcPr>
            <w:tcW w:w="1920" w:type="dxa"/>
            <w:vMerge w:val="restart"/>
            <w:vAlign w:val="center"/>
          </w:tcPr>
          <w:p>
            <w:pPr>
              <w:spacing w:line="460" w:lineRule="exact"/>
              <w:jc w:val="center"/>
              <w:rPr>
                <w:rFonts w:hint="eastAsia" w:ascii="宋体" w:hAnsi="宋体" w:eastAsia="宋体" w:cs="宋体"/>
                <w:color w:val="000000" w:themeColor="text1"/>
                <w:sz w:val="22"/>
                <w:szCs w:val="22"/>
              </w:rPr>
            </w:pPr>
            <w:r>
              <w:rPr>
                <w:rFonts w:hint="eastAsia" w:ascii="宋体" w:hAnsi="宋体" w:eastAsia="宋体" w:cs="宋体"/>
                <w:bCs/>
                <w:spacing w:val="-6"/>
                <w:sz w:val="22"/>
                <w:szCs w:val="22"/>
                <w:lang w:val="en-US" w:eastAsia="zh-CN"/>
              </w:rPr>
              <w:t>★</w:t>
            </w:r>
            <w:r>
              <w:rPr>
                <w:rFonts w:hint="eastAsia" w:ascii="宋体" w:hAnsi="宋体" w:eastAsia="宋体" w:cs="宋体"/>
                <w:color w:val="000000" w:themeColor="text1"/>
                <w:sz w:val="22"/>
                <w:szCs w:val="22"/>
              </w:rPr>
              <w:t>数据自动对比</w:t>
            </w: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对比规则可可视化配置（新增/修改/删除），支持自定义对比字段和误差阈值（如金额误差≤0.01元视为匹配）。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对比报告包含“匹配数据统计、差异数据明细、异常数据原因分析”，支持一键导出和打印。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8201" w:type="dxa"/>
            <w:vAlign w:val="center"/>
          </w:tcPr>
          <w:p>
            <w:pPr>
              <w:spacing w:line="460" w:lineRule="exact"/>
              <w:jc w:val="left"/>
              <w:rPr>
                <w:rFonts w:hint="eastAsia" w:ascii="宋体" w:hAnsi="宋体" w:eastAsia="宋体" w:cs="宋体"/>
                <w:color w:val="000000" w:themeColor="text1"/>
                <w:sz w:val="22"/>
                <w:szCs w:val="22"/>
              </w:rPr>
            </w:pPr>
            <w:r>
              <w:rPr>
                <w:rFonts w:hint="eastAsia" w:ascii="宋体" w:hAnsi="宋体" w:eastAsia="宋体" w:cs="宋体"/>
                <w:color w:val="000000" w:themeColor="text1"/>
                <w:sz w:val="22"/>
                <w:szCs w:val="22"/>
              </w:rPr>
              <w:t>支持差异数据手动复核，复核后可重新触发对比或直接提交录入。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35</w:t>
            </w:r>
          </w:p>
        </w:tc>
        <w:tc>
          <w:tcPr>
            <w:tcW w:w="1920"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kern w:val="0"/>
                <w:sz w:val="22"/>
                <w:szCs w:val="22"/>
                <w:lang w:bidi="ar"/>
              </w:rPr>
              <w:t>▲</w:t>
            </w:r>
            <w:r>
              <w:rPr>
                <w:rFonts w:hint="eastAsia" w:ascii="宋体" w:hAnsi="宋体" w:eastAsia="宋体" w:cs="宋体"/>
                <w:color w:val="000000" w:themeColor="text1"/>
                <w:sz w:val="22"/>
                <w:szCs w:val="22"/>
                <w:lang w:val="en-US" w:eastAsia="zh-CN"/>
              </w:rPr>
              <w:t>发票池数据读取</w:t>
            </w:r>
          </w:p>
        </w:tc>
        <w:tc>
          <w:tcPr>
            <w:tcW w:w="8201" w:type="dxa"/>
            <w:vAlign w:val="center"/>
          </w:tcPr>
          <w:p>
            <w:pPr>
              <w:spacing w:line="460" w:lineRule="exact"/>
              <w:jc w:val="left"/>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rPr>
              <w:t>支持用户手动录入或批量导入发票号码，系统自动在发票池中检索对应发票，并获取该发票的金额数据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lang w:val="en-US" w:eastAsia="zh-CN"/>
              </w:rPr>
            </w:pPr>
          </w:p>
        </w:tc>
        <w:tc>
          <w:tcPr>
            <w:tcW w:w="8201" w:type="dxa"/>
            <w:vAlign w:val="center"/>
          </w:tcPr>
          <w:p>
            <w:pPr>
              <w:spacing w:line="460" w:lineRule="exact"/>
              <w:jc w:val="left"/>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rPr>
              <w:t>系统将录入金额与发票池返回金额进行自动比对：金额一致→判定为“金额对比正确”</w:t>
            </w:r>
            <w:r>
              <w:rPr>
                <w:rFonts w:hint="eastAsia" w:ascii="宋体" w:hAnsi="宋体" w:eastAsia="宋体" w:cs="宋体"/>
                <w:color w:val="000000" w:themeColor="text1"/>
                <w:sz w:val="22"/>
                <w:szCs w:val="22"/>
                <w:lang w:eastAsia="zh-CN"/>
              </w:rPr>
              <w:t>，</w:t>
            </w:r>
            <w:r>
              <w:rPr>
                <w:rFonts w:hint="eastAsia" w:ascii="宋体" w:hAnsi="宋体" w:eastAsia="宋体" w:cs="宋体"/>
                <w:color w:val="000000" w:themeColor="text1"/>
                <w:sz w:val="22"/>
                <w:szCs w:val="22"/>
              </w:rPr>
              <w:t>金额不一致或未找到发票→判定为“金额对比失败”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lang w:val="en-US" w:eastAsia="zh-CN"/>
              </w:rPr>
            </w:pPr>
          </w:p>
        </w:tc>
        <w:tc>
          <w:tcPr>
            <w:tcW w:w="8201" w:type="dxa"/>
            <w:vAlign w:val="center"/>
          </w:tcPr>
          <w:p>
            <w:pPr>
              <w:spacing w:line="460" w:lineRule="exact"/>
              <w:jc w:val="left"/>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rPr>
              <w:t>对比完成后，系统需清晰展示每条记录的比对结果（正确/失败）及失败原因，支持导出失败清单，并具备接口异常重试机制。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36</w:t>
            </w:r>
          </w:p>
        </w:tc>
        <w:tc>
          <w:tcPr>
            <w:tcW w:w="1920" w:type="dxa"/>
            <w:vMerge w:val="restart"/>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kern w:val="0"/>
                <w:sz w:val="22"/>
                <w:szCs w:val="22"/>
                <w:lang w:bidi="ar"/>
              </w:rPr>
              <w:t>▲</w:t>
            </w:r>
            <w:r>
              <w:rPr>
                <w:rFonts w:hint="eastAsia" w:ascii="宋体" w:hAnsi="宋体" w:eastAsia="宋体" w:cs="宋体"/>
                <w:color w:val="000000" w:themeColor="text1"/>
                <w:sz w:val="22"/>
                <w:szCs w:val="22"/>
                <w:lang w:val="en-US" w:eastAsia="zh-CN"/>
              </w:rPr>
              <w:t>医疗耗材自动对比收入</w:t>
            </w:r>
          </w:p>
        </w:tc>
        <w:tc>
          <w:tcPr>
            <w:tcW w:w="8201" w:type="dxa"/>
            <w:vAlign w:val="center"/>
          </w:tcPr>
          <w:p>
            <w:pPr>
              <w:spacing w:line="460" w:lineRule="exact"/>
              <w:jc w:val="left"/>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rPr>
              <w:t>支持系统自动获取发票中的金额数据，并同步调取耗材平台中对应订单或物料的金额信息，建立一对一的金额比对关系。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lang w:val="en-US" w:eastAsia="zh-CN"/>
              </w:rPr>
            </w:pPr>
          </w:p>
        </w:tc>
        <w:tc>
          <w:tcPr>
            <w:tcW w:w="8201" w:type="dxa"/>
            <w:vAlign w:val="center"/>
          </w:tcPr>
          <w:p>
            <w:pPr>
              <w:spacing w:line="460" w:lineRule="exact"/>
              <w:jc w:val="left"/>
              <w:rPr>
                <w:rFonts w:hint="eastAsia" w:ascii="宋体" w:hAnsi="宋体" w:eastAsia="宋体" w:cs="宋体"/>
                <w:color w:val="000000" w:themeColor="text1"/>
                <w:sz w:val="22"/>
                <w:szCs w:val="22"/>
                <w:lang w:eastAsia="zh-CN"/>
              </w:rPr>
            </w:pPr>
            <w:r>
              <w:rPr>
                <w:rFonts w:hint="eastAsia" w:ascii="宋体" w:hAnsi="宋体" w:eastAsia="宋体" w:cs="宋体"/>
                <w:color w:val="000000" w:themeColor="text1"/>
                <w:sz w:val="22"/>
                <w:szCs w:val="22"/>
              </w:rPr>
              <w:t>系统将发票金额与耗材平台返回的金额进行自动比对：金额一致→判定为“金额匹配”，进入人工正常审核流程</w:t>
            </w:r>
            <w:r>
              <w:rPr>
                <w:rFonts w:hint="eastAsia" w:ascii="宋体" w:hAnsi="宋体" w:eastAsia="宋体" w:cs="宋体"/>
                <w:color w:val="000000" w:themeColor="text1"/>
                <w:sz w:val="22"/>
                <w:szCs w:val="22"/>
                <w:lang w:eastAsia="zh-CN"/>
              </w:rPr>
              <w:t>，</w:t>
            </w:r>
          </w:p>
          <w:p>
            <w:pPr>
              <w:spacing w:line="460" w:lineRule="exact"/>
              <w:jc w:val="left"/>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rPr>
              <w:t>金额不一致→判定为“金额不匹配”，返回明确提示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Merge w:val="continue"/>
            <w:vAlign w:val="center"/>
          </w:tcPr>
          <w:p>
            <w:pPr>
              <w:spacing w:line="460" w:lineRule="exact"/>
              <w:jc w:val="center"/>
              <w:rPr>
                <w:rFonts w:hint="eastAsia" w:ascii="宋体" w:hAnsi="宋体" w:eastAsia="宋体" w:cs="宋体"/>
                <w:color w:val="000000" w:themeColor="text1"/>
                <w:sz w:val="22"/>
                <w:szCs w:val="22"/>
              </w:rPr>
            </w:pPr>
          </w:p>
        </w:tc>
        <w:tc>
          <w:tcPr>
            <w:tcW w:w="1920" w:type="dxa"/>
            <w:vMerge w:val="continue"/>
            <w:vAlign w:val="center"/>
          </w:tcPr>
          <w:p>
            <w:pPr>
              <w:spacing w:line="460" w:lineRule="exact"/>
              <w:jc w:val="center"/>
              <w:rPr>
                <w:rFonts w:hint="eastAsia" w:ascii="宋体" w:hAnsi="宋体" w:eastAsia="宋体" w:cs="宋体"/>
                <w:color w:val="000000" w:themeColor="text1"/>
                <w:sz w:val="22"/>
                <w:szCs w:val="22"/>
                <w:lang w:val="en-US" w:eastAsia="zh-CN"/>
              </w:rPr>
            </w:pPr>
          </w:p>
        </w:tc>
        <w:tc>
          <w:tcPr>
            <w:tcW w:w="8201" w:type="dxa"/>
            <w:vAlign w:val="center"/>
          </w:tcPr>
          <w:p>
            <w:pPr>
              <w:spacing w:line="460" w:lineRule="exact"/>
              <w:jc w:val="left"/>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rPr>
              <w:t>对比完成后，系统需清晰展示每条记录的比对结果（匹配/不匹配）及差异详情，支持对不匹配数据导出清单，并具备接口调用异常时的重试与日志记录机制。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18"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color w:val="000000" w:themeColor="text1"/>
                <w:sz w:val="22"/>
                <w:szCs w:val="22"/>
                <w:lang w:val="en-US" w:eastAsia="zh-CN"/>
              </w:rPr>
              <w:t>37</w:t>
            </w:r>
          </w:p>
        </w:tc>
        <w:tc>
          <w:tcPr>
            <w:tcW w:w="1920" w:type="dxa"/>
            <w:vAlign w:val="center"/>
          </w:tcPr>
          <w:p>
            <w:pPr>
              <w:spacing w:line="460" w:lineRule="exact"/>
              <w:jc w:val="center"/>
              <w:rPr>
                <w:rFonts w:hint="eastAsia" w:ascii="宋体" w:hAnsi="宋体" w:eastAsia="宋体" w:cs="宋体"/>
                <w:color w:val="000000" w:themeColor="text1"/>
                <w:sz w:val="22"/>
                <w:szCs w:val="22"/>
                <w:lang w:val="en-US" w:eastAsia="zh-CN"/>
              </w:rPr>
            </w:pPr>
            <w:r>
              <w:rPr>
                <w:rFonts w:hint="eastAsia" w:ascii="宋体" w:hAnsi="宋体" w:eastAsia="宋体" w:cs="宋体"/>
                <w:bCs/>
                <w:spacing w:val="-6"/>
                <w:sz w:val="22"/>
                <w:szCs w:val="22"/>
                <w:lang w:val="en-US" w:eastAsia="zh-CN"/>
              </w:rPr>
              <w:t>★</w:t>
            </w:r>
            <w:r>
              <w:rPr>
                <w:rFonts w:hint="eastAsia" w:ascii="宋体" w:hAnsi="宋体" w:eastAsia="宋体" w:cs="宋体"/>
                <w:color w:val="000000" w:themeColor="text1"/>
                <w:sz w:val="22"/>
                <w:szCs w:val="22"/>
                <w:lang w:val="en-US" w:eastAsia="zh-CN"/>
              </w:rPr>
              <w:t>其它</w:t>
            </w:r>
          </w:p>
        </w:tc>
        <w:tc>
          <w:tcPr>
            <w:tcW w:w="8201" w:type="dxa"/>
            <w:vAlign w:val="center"/>
          </w:tcPr>
          <w:p>
            <w:pPr>
              <w:spacing w:line="360" w:lineRule="auto"/>
              <w:ind w:firstLine="416" w:firstLineChars="200"/>
              <w:rPr>
                <w:rFonts w:hint="eastAsia" w:ascii="宋体" w:hAnsi="宋体" w:eastAsia="宋体" w:cs="宋体"/>
                <w:color w:val="000000" w:themeColor="text1"/>
                <w:sz w:val="22"/>
                <w:szCs w:val="22"/>
              </w:rPr>
            </w:pPr>
            <w:r>
              <w:rPr>
                <w:rFonts w:hint="eastAsia" w:ascii="宋体" w:hAnsi="宋体" w:eastAsia="宋体" w:cs="宋体"/>
                <w:bCs/>
                <w:spacing w:val="-6"/>
                <w:sz w:val="22"/>
                <w:szCs w:val="22"/>
                <w:lang w:val="en-US" w:eastAsia="zh-CN"/>
              </w:rPr>
              <w:t>★</w:t>
            </w:r>
            <w:r>
              <w:rPr>
                <w:rFonts w:hint="eastAsia" w:ascii="宋体" w:hAnsi="宋体" w:eastAsia="宋体" w:cs="宋体"/>
                <w:sz w:val="22"/>
                <w:szCs w:val="22"/>
              </w:rPr>
              <w:t>为保障产品安全性和可控性，中标单位应在签订采购合同之前到达采购人测试所有指标功能是否满足项目建设的需求，对于提供虚假参数强行中标的行为，经测试查实后取消其中标资格，并报上级部门单位严肃处理，并按相关要求赔偿采购方相关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10839" w:type="dxa"/>
            <w:gridSpan w:val="3"/>
            <w:vAlign w:val="center"/>
          </w:tcPr>
          <w:p>
            <w:pPr>
              <w:spacing w:line="460" w:lineRule="exact"/>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注</w:t>
            </w:r>
            <w:r>
              <w:rPr>
                <w:rFonts w:hint="default" w:ascii="Times New Roman" w:hAnsi="Times New Roman" w:eastAsia="宋体" w:cs="Times New Roman"/>
                <w:b/>
                <w:bCs/>
                <w:sz w:val="24"/>
                <w:szCs w:val="24"/>
              </w:rPr>
              <w:t>：以上</w:t>
            </w:r>
            <w:r>
              <w:rPr>
                <w:rFonts w:hint="eastAsia" w:ascii="Times New Roman" w:hAnsi="Times New Roman" w:eastAsia="宋体" w:cs="Times New Roman"/>
                <w:b/>
                <w:bCs/>
                <w:sz w:val="24"/>
                <w:szCs w:val="24"/>
                <w:lang w:eastAsia="zh-CN"/>
              </w:rPr>
              <w:t>“</w:t>
            </w:r>
            <w:r>
              <w:rPr>
                <w:rFonts w:hint="default" w:ascii="Times New Roman" w:hAnsi="Times New Roman" w:eastAsia="宋体" w:cs="Times New Roman"/>
                <w:b/>
                <w:bCs/>
                <w:sz w:val="24"/>
                <w:szCs w:val="24"/>
              </w:rPr>
              <w:t>▲</w:t>
            </w:r>
            <w:r>
              <w:rPr>
                <w:rFonts w:hint="eastAsia" w:ascii="Times New Roman" w:hAnsi="Times New Roman" w:eastAsia="宋体" w:cs="Times New Roman"/>
                <w:b/>
                <w:bCs/>
                <w:sz w:val="24"/>
                <w:szCs w:val="24"/>
                <w:lang w:eastAsia="zh-CN"/>
              </w:rPr>
              <w:t>”</w:t>
            </w:r>
            <w:r>
              <w:rPr>
                <w:rFonts w:hint="default" w:ascii="Times New Roman" w:hAnsi="Times New Roman" w:eastAsia="宋体" w:cs="Times New Roman"/>
                <w:b/>
                <w:bCs/>
                <w:sz w:val="24"/>
                <w:szCs w:val="24"/>
              </w:rPr>
              <w:t>要求</w:t>
            </w:r>
            <w:r>
              <w:rPr>
                <w:rFonts w:hint="eastAsia" w:ascii="Times New Roman" w:hAnsi="Times New Roman" w:eastAsia="宋体" w:cs="Times New Roman"/>
                <w:b/>
                <w:bCs/>
                <w:sz w:val="24"/>
                <w:szCs w:val="24"/>
                <w:lang w:val="en-US" w:eastAsia="zh-CN"/>
              </w:rPr>
              <w:t xml:space="preserve">为实质性 </w:t>
            </w:r>
          </w:p>
        </w:tc>
      </w:tr>
    </w:tbl>
    <w:p>
      <w:pPr>
        <w:pStyle w:val="20"/>
        <w:spacing w:line="360" w:lineRule="auto"/>
        <w:rPr>
          <w:rFonts w:hint="eastAsia" w:ascii="宋体" w:hAnsi="宋体"/>
          <w:color w:val="000000"/>
          <w:szCs w:val="21"/>
          <w:lang w:val="en-US" w:eastAsia="zh-CN"/>
        </w:rPr>
      </w:pPr>
    </w:p>
    <w:p>
      <w:pPr>
        <w:pStyle w:val="20"/>
        <w:rPr>
          <w:rFonts w:hint="eastAsia" w:ascii="宋体" w:hAnsi="宋体"/>
          <w:color w:val="000000"/>
          <w:szCs w:val="21"/>
        </w:rPr>
      </w:pPr>
    </w:p>
    <w:p>
      <w:pPr>
        <w:pStyle w:val="20"/>
        <w:ind w:left="0" w:leftChars="0" w:firstLine="0" w:firstLineChars="0"/>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440" w:lineRule="exact"/>
        <w:ind w:firstLine="3373" w:firstLineChars="1200"/>
        <w:jc w:val="both"/>
        <w:textAlignment w:val="auto"/>
        <w:rPr>
          <w:b/>
          <w:sz w:val="28"/>
          <w:szCs w:val="28"/>
        </w:rPr>
      </w:pPr>
      <w:r>
        <w:rPr>
          <w:b/>
          <w:sz w:val="28"/>
          <w:szCs w:val="28"/>
        </w:rPr>
        <w:t>廉洁购销合同</w:t>
      </w:r>
    </w:p>
    <w:p>
      <w:pPr>
        <w:keepNext w:val="0"/>
        <w:keepLines w:val="0"/>
        <w:pageBreakBefore w:val="0"/>
        <w:widowControl w:val="0"/>
        <w:kinsoku/>
        <w:wordWrap/>
        <w:overflowPunct/>
        <w:topLinePunct w:val="0"/>
        <w:autoSpaceDE/>
        <w:autoSpaceDN/>
        <w:bidi w:val="0"/>
        <w:adjustRightInd/>
        <w:snapToGrid/>
        <w:spacing w:line="440" w:lineRule="exac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bCs/>
          <w:sz w:val="20"/>
          <w:szCs w:val="20"/>
          <w:lang w:eastAsia="zh-CN"/>
        </w:rPr>
      </w:pPr>
      <w:r>
        <w:rPr>
          <w:sz w:val="20"/>
          <w:szCs w:val="20"/>
        </w:rPr>
        <w:t>甲方</w:t>
      </w:r>
      <w:r>
        <w:rPr>
          <w:bCs/>
          <w:sz w:val="20"/>
          <w:szCs w:val="20"/>
        </w:rPr>
        <w:t>：</w:t>
      </w:r>
      <w:r>
        <w:rPr>
          <w:rFonts w:hint="eastAsia"/>
          <w:bCs/>
          <w:sz w:val="20"/>
          <w:szCs w:val="20"/>
          <w:lang w:eastAsia="zh-CN"/>
        </w:rPr>
        <w:t>温州市中医院</w:t>
      </w:r>
    </w:p>
    <w:p>
      <w:pPr>
        <w:spacing w:line="360" w:lineRule="auto"/>
        <w:rPr>
          <w:rFonts w:hint="eastAsia" w:ascii="宋体" w:hAnsi="宋体" w:eastAsia="宋体" w:cs="宋体"/>
          <w:b w:val="0"/>
          <w:bCs/>
          <w:sz w:val="20"/>
          <w:szCs w:val="20"/>
          <w:u w:val="none"/>
          <w:lang w:val="en-US" w:eastAsia="zh-CN"/>
        </w:rPr>
      </w:pPr>
      <w:r>
        <w:rPr>
          <w:sz w:val="20"/>
          <w:szCs w:val="20"/>
        </w:rPr>
        <w:t>乙方</w:t>
      </w:r>
      <w:r>
        <w:rPr>
          <w:b w:val="0"/>
          <w:bCs/>
          <w:sz w:val="20"/>
          <w:szCs w:val="20"/>
        </w:rPr>
        <w:t>：</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为进一步加强医疗卫生行风建设，规范医疗卫生机构</w:t>
      </w:r>
      <w:r>
        <w:rPr>
          <w:rFonts w:hint="eastAsia"/>
          <w:bCs/>
          <w:sz w:val="20"/>
          <w:szCs w:val="20"/>
          <w:lang w:eastAsia="zh-CN"/>
        </w:rPr>
        <w:t>各类</w:t>
      </w:r>
      <w:r>
        <w:rPr>
          <w:bCs/>
          <w:sz w:val="20"/>
          <w:szCs w:val="20"/>
        </w:rPr>
        <w:t>购销行为，有效防范商业贿赂行为，营造公平交易、诚实守信的</w:t>
      </w:r>
      <w:r>
        <w:rPr>
          <w:rFonts w:hint="eastAsia"/>
          <w:bCs/>
          <w:sz w:val="20"/>
          <w:szCs w:val="20"/>
          <w:lang w:eastAsia="zh-CN"/>
        </w:rPr>
        <w:t>“清廉医院”</w:t>
      </w:r>
      <w:r>
        <w:rPr>
          <w:bCs/>
          <w:sz w:val="20"/>
          <w:szCs w:val="20"/>
        </w:rPr>
        <w:t>购销环境，经甲、乙双方协商，同意签订本合同，并共同遵守：</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一、甲乙双方按照《</w:t>
      </w:r>
      <w:r>
        <w:rPr>
          <w:rFonts w:hint="eastAsia"/>
          <w:bCs/>
          <w:sz w:val="20"/>
          <w:szCs w:val="20"/>
          <w:lang w:eastAsia="zh-CN"/>
        </w:rPr>
        <w:t>民法典</w:t>
      </w:r>
      <w:r>
        <w:rPr>
          <w:bCs/>
          <w:sz w:val="20"/>
          <w:szCs w:val="20"/>
        </w:rPr>
        <w:t>》</w:t>
      </w:r>
      <w:r>
        <w:rPr>
          <w:rFonts w:hint="eastAsia"/>
          <w:bCs/>
          <w:sz w:val="20"/>
          <w:szCs w:val="20"/>
          <w:lang w:eastAsia="zh-CN"/>
        </w:rPr>
        <w:t>等相关法规要求，约定</w:t>
      </w:r>
      <w:r>
        <w:rPr>
          <w:bCs/>
          <w:sz w:val="20"/>
          <w:szCs w:val="20"/>
        </w:rPr>
        <w:t>购销</w:t>
      </w:r>
      <w:r>
        <w:rPr>
          <w:rFonts w:hint="eastAsia"/>
          <w:bCs/>
          <w:sz w:val="20"/>
          <w:szCs w:val="20"/>
          <w:lang w:eastAsia="zh-CN"/>
        </w:rPr>
        <w:t>包括但不限于</w:t>
      </w:r>
      <w:r>
        <w:rPr>
          <w:bCs/>
          <w:sz w:val="20"/>
          <w:szCs w:val="20"/>
        </w:rPr>
        <w:t>药品、设备、耗材</w:t>
      </w:r>
      <w:r>
        <w:rPr>
          <w:rFonts w:hint="eastAsia"/>
          <w:bCs/>
          <w:sz w:val="20"/>
          <w:szCs w:val="20"/>
          <w:lang w:eastAsia="zh-CN"/>
        </w:rPr>
        <w:t>、维保</w:t>
      </w:r>
      <w:r>
        <w:rPr>
          <w:bCs/>
          <w:sz w:val="20"/>
          <w:szCs w:val="20"/>
        </w:rPr>
        <w:t>等</w:t>
      </w:r>
      <w:r>
        <w:rPr>
          <w:rFonts w:hint="eastAsia"/>
          <w:bCs/>
          <w:sz w:val="20"/>
          <w:szCs w:val="20"/>
          <w:lang w:eastAsia="zh-CN"/>
        </w:rPr>
        <w:t>货物或服务</w:t>
      </w:r>
      <w:r>
        <w:rPr>
          <w:bCs/>
          <w:sz w:val="20"/>
          <w:szCs w:val="20"/>
        </w:rPr>
        <w:t>。</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二、甲方应当严格执行合同验收、入库制度，对采购产品及发票进行查验，不得违反有关规定合同外采购、违价采购或从非规定渠道采购。</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四、严禁甲方工作人员利用任何途径和方式，为乙方统计医师个人及临床科室有关医药产品用量信息，或为乙方统计提供便利。</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eastAsia="宋体"/>
          <w:bCs/>
          <w:color w:val="auto"/>
          <w:sz w:val="20"/>
          <w:szCs w:val="20"/>
          <w:lang w:eastAsia="zh-CN"/>
        </w:rPr>
      </w:pPr>
      <w:r>
        <w:rPr>
          <w:bCs/>
          <w:sz w:val="20"/>
          <w:szCs w:val="20"/>
        </w:rPr>
        <w:t>五、乙方不得以回扣、宴请等方式影响甲方工作人员采购</w:t>
      </w:r>
      <w:r>
        <w:rPr>
          <w:rFonts w:hint="eastAsia"/>
          <w:bCs/>
          <w:sz w:val="20"/>
          <w:szCs w:val="20"/>
          <w:lang w:eastAsia="zh-CN"/>
        </w:rPr>
        <w:t>或使用</w:t>
      </w:r>
      <w:r>
        <w:rPr>
          <w:bCs/>
          <w:sz w:val="20"/>
          <w:szCs w:val="20"/>
        </w:rPr>
        <w:t>产品的选择权，不得在学术活动中提供旅游、超标准支付食宿费用</w:t>
      </w:r>
      <w:r>
        <w:rPr>
          <w:rFonts w:hint="eastAsia"/>
          <w:bCs/>
          <w:sz w:val="20"/>
          <w:szCs w:val="20"/>
          <w:lang w:eastAsia="zh-CN"/>
        </w:rPr>
        <w:t>，</w:t>
      </w:r>
      <w:r>
        <w:rPr>
          <w:rFonts w:hint="eastAsia"/>
          <w:bCs/>
          <w:color w:val="auto"/>
          <w:sz w:val="20"/>
          <w:szCs w:val="20"/>
        </w:rPr>
        <w:t xml:space="preserve">不得以任何形式向甲方工作人员赠送礼品、礼金或其他利益诱惑，违者将视同乙方违约。 </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eastAsia="宋体"/>
          <w:bCs/>
          <w:sz w:val="20"/>
          <w:szCs w:val="20"/>
          <w:lang w:eastAsia="zh-CN"/>
        </w:rPr>
      </w:pPr>
      <w:r>
        <w:rPr>
          <w:bCs/>
          <w:color w:val="auto"/>
          <w:sz w:val="20"/>
          <w:szCs w:val="20"/>
        </w:rPr>
        <w:t>六、乙方指定</w:t>
      </w:r>
      <w:r>
        <w:rPr>
          <w:rFonts w:hint="eastAsia"/>
          <w:bCs/>
          <w:color w:val="auto"/>
          <w:sz w:val="20"/>
          <w:szCs w:val="20"/>
          <w:lang w:val="en-US" w:eastAsia="zh-CN"/>
        </w:rPr>
        <w:t xml:space="preserve"> </w:t>
      </w:r>
      <w:r>
        <w:rPr>
          <w:rFonts w:hint="eastAsia"/>
          <w:bCs/>
          <w:color w:val="auto"/>
          <w:sz w:val="20"/>
          <w:szCs w:val="20"/>
          <w:u w:val="single"/>
          <w:lang w:val="en-US" w:eastAsia="zh-CN"/>
        </w:rPr>
        <w:t xml:space="preserve">    </w:t>
      </w:r>
      <w:r>
        <w:rPr>
          <w:bCs/>
          <w:color w:val="auto"/>
          <w:sz w:val="20"/>
          <w:szCs w:val="20"/>
        </w:rPr>
        <w:t>作为销售代表洽谈业务。</w:t>
      </w:r>
      <w:r>
        <w:rPr>
          <w:rFonts w:hint="eastAsia"/>
          <w:bCs/>
          <w:color w:val="auto"/>
          <w:sz w:val="20"/>
          <w:szCs w:val="20"/>
          <w:lang w:val="en-US" w:eastAsia="zh-CN"/>
        </w:rPr>
        <w:t>其</w:t>
      </w:r>
      <w:r>
        <w:rPr>
          <w:rFonts w:hint="eastAsia"/>
          <w:bCs/>
          <w:color w:val="auto"/>
          <w:sz w:val="20"/>
          <w:szCs w:val="20"/>
        </w:rPr>
        <w:t>必须持有合法身份证明及授权文件，并在甲方备案。</w:t>
      </w:r>
      <w:r>
        <w:rPr>
          <w:bCs/>
          <w:color w:val="auto"/>
          <w:sz w:val="20"/>
          <w:szCs w:val="20"/>
        </w:rPr>
        <w:t>销售代表必须在工作时间到甲方指定地点联系商谈，不得到住院部、门诊部、医技科室等推</w:t>
      </w:r>
      <w:r>
        <w:rPr>
          <w:bCs/>
          <w:sz w:val="20"/>
          <w:szCs w:val="20"/>
        </w:rPr>
        <w:t>销产品，不得借故到甲方相关领导、部门负责人及相关工作人员家中访谈并提供任何好处费</w:t>
      </w:r>
      <w:r>
        <w:rPr>
          <w:rFonts w:hint="eastAsia"/>
          <w:bCs/>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color w:val="auto"/>
          <w:sz w:val="20"/>
          <w:szCs w:val="20"/>
        </w:rPr>
      </w:pPr>
      <w:r>
        <w:rPr>
          <w:rFonts w:hint="eastAsia"/>
          <w:bCs/>
          <w:sz w:val="20"/>
          <w:szCs w:val="20"/>
          <w:lang w:val="en-US" w:eastAsia="zh-CN"/>
        </w:rPr>
        <w:t>七、乙方指定的</w:t>
      </w:r>
      <w:r>
        <w:rPr>
          <w:rFonts w:hint="eastAsia"/>
          <w:bCs/>
          <w:sz w:val="20"/>
          <w:szCs w:val="20"/>
        </w:rPr>
        <w:t>销售代表</w:t>
      </w:r>
      <w:r>
        <w:rPr>
          <w:bCs/>
          <w:color w:val="auto"/>
          <w:sz w:val="20"/>
          <w:szCs w:val="20"/>
        </w:rPr>
        <w:t>如违反本合同，一经发现，甲方有权终止购销合同，并向有关卫生计生行政部门报告。如乙方被列入商业贿赂不良记录，则严格按照《国家卫生计生委关于建立医药购销领域商业贿赂不良记录的规定》</w:t>
      </w:r>
      <w:r>
        <w:rPr>
          <w:bCs/>
          <w:color w:val="auto"/>
          <w:sz w:val="20"/>
          <w:szCs w:val="20"/>
          <w:shd w:val="clear" w:color="auto" w:fill="FFFFFF"/>
        </w:rPr>
        <w:t>（国卫法制发〔2013〕50号）</w:t>
      </w:r>
      <w:r>
        <w:rPr>
          <w:rFonts w:hint="eastAsia"/>
          <w:bCs/>
          <w:color w:val="auto"/>
          <w:sz w:val="20"/>
          <w:szCs w:val="20"/>
          <w:shd w:val="clear" w:color="auto" w:fill="FFFFFF"/>
          <w:lang w:eastAsia="zh-CN"/>
        </w:rPr>
        <w:t>及《关于印发医疗机构工作人员廉洁从业九项准则的通知》（国卫医发〔2021〕37号）</w:t>
      </w:r>
      <w:r>
        <w:rPr>
          <w:bCs/>
          <w:color w:val="auto"/>
          <w:sz w:val="20"/>
          <w:szCs w:val="20"/>
        </w:rPr>
        <w:t>相关规定处理。</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rFonts w:hint="eastAsia"/>
          <w:bCs/>
          <w:sz w:val="20"/>
          <w:szCs w:val="20"/>
          <w:lang w:val="en-US" w:eastAsia="zh-CN"/>
        </w:rPr>
        <w:t>八</w:t>
      </w:r>
      <w:r>
        <w:rPr>
          <w:bCs/>
          <w:sz w:val="20"/>
          <w:szCs w:val="20"/>
        </w:rPr>
        <w:t>、本合同作为购销合同的重要组成部分，与购销合同一并执行，具有同等的法律效力。</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rFonts w:hint="eastAsia"/>
          <w:bCs/>
          <w:sz w:val="20"/>
          <w:szCs w:val="20"/>
          <w:lang w:val="en-US" w:eastAsia="zh-CN"/>
        </w:rPr>
        <w:t>九</w:t>
      </w:r>
      <w:r>
        <w:rPr>
          <w:bCs/>
          <w:sz w:val="20"/>
          <w:szCs w:val="20"/>
        </w:rPr>
        <w:t>、本合同一式</w:t>
      </w:r>
      <w:r>
        <w:rPr>
          <w:rFonts w:hint="eastAsia"/>
          <w:bCs/>
          <w:sz w:val="20"/>
          <w:szCs w:val="20"/>
          <w:lang w:val="en-US" w:eastAsia="zh-CN"/>
        </w:rPr>
        <w:t>二</w:t>
      </w:r>
      <w:r>
        <w:rPr>
          <w:bCs/>
          <w:sz w:val="20"/>
          <w:szCs w:val="20"/>
        </w:rPr>
        <w:t>份，甲、乙双方各执一份，并从签订之日起生效。</w:t>
      </w:r>
    </w:p>
    <w:p>
      <w:pPr>
        <w:keepNext w:val="0"/>
        <w:keepLines w:val="0"/>
        <w:pageBreakBefore w:val="0"/>
        <w:widowControl w:val="0"/>
        <w:kinsoku/>
        <w:wordWrap/>
        <w:overflowPunct/>
        <w:topLinePunct w:val="0"/>
        <w:autoSpaceDE/>
        <w:autoSpaceDN/>
        <w:bidi w:val="0"/>
        <w:adjustRightInd/>
        <w:snapToGrid/>
        <w:spacing w:line="360" w:lineRule="auto"/>
        <w:textAlignment w:val="auto"/>
        <w:rPr>
          <w:bCs/>
          <w:sz w:val="20"/>
          <w:szCs w:val="20"/>
        </w:rPr>
      </w:pPr>
      <w:r>
        <w:rPr>
          <w:bCs/>
          <w:sz w:val="20"/>
          <w:szCs w:val="20"/>
        </w:rPr>
        <w:t xml:space="preserve">甲方（盖章）：                     </w:t>
      </w:r>
      <w:r>
        <w:rPr>
          <w:rFonts w:hint="eastAsia"/>
          <w:bCs/>
          <w:sz w:val="20"/>
          <w:szCs w:val="20"/>
          <w:lang w:val="en-US" w:eastAsia="zh-CN"/>
        </w:rPr>
        <w:t xml:space="preserve">       </w:t>
      </w:r>
      <w:r>
        <w:rPr>
          <w:bCs/>
          <w:sz w:val="20"/>
          <w:szCs w:val="20"/>
        </w:rPr>
        <w:t>乙方（盖章）：</w:t>
      </w:r>
    </w:p>
    <w:p>
      <w:pPr>
        <w:keepNext w:val="0"/>
        <w:keepLines w:val="0"/>
        <w:pageBreakBefore w:val="0"/>
        <w:widowControl w:val="0"/>
        <w:kinsoku/>
        <w:wordWrap/>
        <w:overflowPunct/>
        <w:topLinePunct w:val="0"/>
        <w:autoSpaceDE/>
        <w:autoSpaceDN/>
        <w:bidi w:val="0"/>
        <w:adjustRightInd/>
        <w:snapToGrid/>
        <w:spacing w:line="360" w:lineRule="auto"/>
        <w:textAlignment w:val="auto"/>
        <w:rPr>
          <w:bCs/>
          <w:sz w:val="20"/>
          <w:szCs w:val="20"/>
        </w:rPr>
      </w:pPr>
      <w:r>
        <w:rPr>
          <w:bCs/>
          <w:sz w:val="20"/>
          <w:szCs w:val="20"/>
        </w:rPr>
        <w:t>法定代表人（</w:t>
      </w:r>
      <w:r>
        <w:rPr>
          <w:rFonts w:hint="eastAsia"/>
          <w:bCs/>
          <w:sz w:val="20"/>
          <w:szCs w:val="20"/>
          <w:lang w:val="en-US" w:eastAsia="zh-CN"/>
        </w:rPr>
        <w:t>或授权代表</w:t>
      </w:r>
      <w:r>
        <w:rPr>
          <w:bCs/>
          <w:sz w:val="20"/>
          <w:szCs w:val="20"/>
        </w:rPr>
        <w:t xml:space="preserve">）：             </w:t>
      </w:r>
      <w:r>
        <w:rPr>
          <w:rFonts w:hint="eastAsia"/>
          <w:bCs/>
          <w:sz w:val="20"/>
          <w:szCs w:val="20"/>
          <w:lang w:val="en-US" w:eastAsia="zh-CN"/>
        </w:rPr>
        <w:t xml:space="preserve">   </w:t>
      </w:r>
      <w:r>
        <w:rPr>
          <w:bCs/>
          <w:sz w:val="20"/>
          <w:szCs w:val="20"/>
        </w:rPr>
        <w:t>法定代表人（</w:t>
      </w:r>
      <w:r>
        <w:rPr>
          <w:rFonts w:hint="eastAsia"/>
          <w:bCs/>
          <w:sz w:val="20"/>
          <w:szCs w:val="20"/>
          <w:lang w:val="en-US" w:eastAsia="zh-CN"/>
        </w:rPr>
        <w:t>或授权代表</w:t>
      </w:r>
      <w:r>
        <w:rPr>
          <w:bCs/>
          <w:sz w:val="20"/>
          <w:szCs w:val="20"/>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bCs/>
          <w:sz w:val="20"/>
          <w:szCs w:val="20"/>
        </w:rPr>
      </w:pPr>
      <w:r>
        <w:rPr>
          <w:bCs/>
          <w:sz w:val="20"/>
          <w:szCs w:val="20"/>
        </w:rPr>
        <w:t xml:space="preserve">经办人签名：                     </w:t>
      </w:r>
      <w:r>
        <w:rPr>
          <w:rFonts w:hint="eastAsia"/>
          <w:bCs/>
          <w:sz w:val="20"/>
          <w:szCs w:val="20"/>
          <w:lang w:val="en-US" w:eastAsia="zh-CN"/>
        </w:rPr>
        <w:t xml:space="preserve">       </w:t>
      </w:r>
      <w:r>
        <w:rPr>
          <w:bCs/>
          <w:sz w:val="20"/>
          <w:szCs w:val="20"/>
        </w:rPr>
        <w:t xml:space="preserve"> 经办人签名：</w:t>
      </w:r>
    </w:p>
    <w:p>
      <w:pPr>
        <w:keepNext w:val="0"/>
        <w:keepLines w:val="0"/>
        <w:pageBreakBefore w:val="0"/>
        <w:widowControl w:val="0"/>
        <w:kinsoku/>
        <w:wordWrap/>
        <w:overflowPunct/>
        <w:topLinePunct w:val="0"/>
        <w:autoSpaceDE/>
        <w:autoSpaceDN/>
        <w:bidi w:val="0"/>
        <w:adjustRightInd/>
        <w:snapToGrid/>
        <w:spacing w:line="360" w:lineRule="auto"/>
        <w:ind w:firstLine="800" w:firstLineChars="400"/>
        <w:textAlignment w:val="auto"/>
        <w:rPr>
          <w:sz w:val="20"/>
          <w:szCs w:val="20"/>
        </w:rPr>
      </w:pPr>
      <w:r>
        <w:rPr>
          <w:bCs/>
          <w:sz w:val="20"/>
          <w:szCs w:val="20"/>
        </w:rPr>
        <w:t>年</w:t>
      </w:r>
      <w:r>
        <w:rPr>
          <w:rFonts w:hint="eastAsia"/>
          <w:bCs/>
          <w:sz w:val="20"/>
          <w:szCs w:val="20"/>
          <w:lang w:val="en-US" w:eastAsia="zh-CN"/>
        </w:rPr>
        <w:t xml:space="preserve">    </w:t>
      </w:r>
      <w:r>
        <w:rPr>
          <w:bCs/>
          <w:sz w:val="20"/>
          <w:szCs w:val="20"/>
        </w:rPr>
        <w:t>月</w:t>
      </w:r>
      <w:r>
        <w:rPr>
          <w:rFonts w:hint="eastAsia"/>
          <w:bCs/>
          <w:sz w:val="20"/>
          <w:szCs w:val="20"/>
          <w:lang w:val="en-US" w:eastAsia="zh-CN"/>
        </w:rPr>
        <w:t xml:space="preserve">    </w:t>
      </w:r>
      <w:r>
        <w:rPr>
          <w:bCs/>
          <w:sz w:val="20"/>
          <w:szCs w:val="20"/>
        </w:rPr>
        <w:t xml:space="preserve">日                      </w:t>
      </w:r>
      <w:r>
        <w:rPr>
          <w:rFonts w:hint="eastAsia"/>
          <w:bCs/>
          <w:sz w:val="20"/>
          <w:szCs w:val="20"/>
          <w:lang w:val="en-US" w:eastAsia="zh-CN"/>
        </w:rPr>
        <w:t xml:space="preserve">     </w:t>
      </w:r>
      <w:r>
        <w:rPr>
          <w:bCs/>
          <w:sz w:val="20"/>
          <w:szCs w:val="20"/>
        </w:rPr>
        <w:t>年</w:t>
      </w:r>
      <w:r>
        <w:rPr>
          <w:rFonts w:hint="eastAsia"/>
          <w:bCs/>
          <w:sz w:val="20"/>
          <w:szCs w:val="20"/>
          <w:lang w:val="en-US" w:eastAsia="zh-CN"/>
        </w:rPr>
        <w:t xml:space="preserve">    </w:t>
      </w:r>
      <w:r>
        <w:rPr>
          <w:bCs/>
          <w:sz w:val="20"/>
          <w:szCs w:val="20"/>
        </w:rPr>
        <w:t>月</w:t>
      </w:r>
      <w:r>
        <w:rPr>
          <w:rFonts w:hint="eastAsia"/>
          <w:bCs/>
          <w:sz w:val="20"/>
          <w:szCs w:val="20"/>
          <w:lang w:val="en-US" w:eastAsia="zh-CN"/>
        </w:rPr>
        <w:t xml:space="preserve">    </w:t>
      </w:r>
      <w:r>
        <w:rPr>
          <w:bCs/>
          <w:sz w:val="20"/>
          <w:szCs w:val="20"/>
        </w:rPr>
        <w:t>日</w:t>
      </w:r>
    </w:p>
    <w:p>
      <w:pPr>
        <w:spacing w:line="240" w:lineRule="auto"/>
        <w:rPr>
          <w:sz w:val="20"/>
          <w:szCs w:val="20"/>
        </w:rPr>
      </w:pPr>
    </w:p>
    <w:p>
      <w:pPr>
        <w:pStyle w:val="20"/>
        <w:rPr>
          <w:rFonts w:hint="eastAsia" w:ascii="宋体" w:hAnsi="宋体"/>
          <w:color w:val="000000"/>
          <w:szCs w:val="21"/>
        </w:rPr>
      </w:pPr>
    </w:p>
    <w:sectPr>
      <w:pgSz w:w="11906" w:h="16838"/>
      <w:pgMar w:top="850" w:right="1236" w:bottom="850"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2IzN2FlZGQyNmExMDc1YTc1OWIxYmFlNmE1NTFhMTUifQ=="/>
  </w:docVars>
  <w:rsids>
    <w:rsidRoot w:val="442D7AA8"/>
    <w:rsid w:val="000838A3"/>
    <w:rsid w:val="0029760C"/>
    <w:rsid w:val="003D41C7"/>
    <w:rsid w:val="003E091A"/>
    <w:rsid w:val="004033F6"/>
    <w:rsid w:val="00537F7B"/>
    <w:rsid w:val="005D6C7D"/>
    <w:rsid w:val="0077449E"/>
    <w:rsid w:val="009C732C"/>
    <w:rsid w:val="00A81427"/>
    <w:rsid w:val="00BD504C"/>
    <w:rsid w:val="00DB7EDC"/>
    <w:rsid w:val="00FA6B75"/>
    <w:rsid w:val="03F44E33"/>
    <w:rsid w:val="045055BD"/>
    <w:rsid w:val="0A8B518F"/>
    <w:rsid w:val="0B286252"/>
    <w:rsid w:val="0C462040"/>
    <w:rsid w:val="0EF80781"/>
    <w:rsid w:val="0F427144"/>
    <w:rsid w:val="0F9C6A6C"/>
    <w:rsid w:val="1124087B"/>
    <w:rsid w:val="1367269B"/>
    <w:rsid w:val="154327F2"/>
    <w:rsid w:val="15F0193F"/>
    <w:rsid w:val="16586A57"/>
    <w:rsid w:val="1AAC3B0A"/>
    <w:rsid w:val="1DD0413A"/>
    <w:rsid w:val="1E704E7C"/>
    <w:rsid w:val="203F5CE6"/>
    <w:rsid w:val="215E5325"/>
    <w:rsid w:val="245B0ADE"/>
    <w:rsid w:val="253F05F7"/>
    <w:rsid w:val="26614AE7"/>
    <w:rsid w:val="26F35B44"/>
    <w:rsid w:val="28722A91"/>
    <w:rsid w:val="2ABF7AE4"/>
    <w:rsid w:val="2B9D1E83"/>
    <w:rsid w:val="2C0B329E"/>
    <w:rsid w:val="2DA52879"/>
    <w:rsid w:val="2EE23DA1"/>
    <w:rsid w:val="304676BA"/>
    <w:rsid w:val="323E49BE"/>
    <w:rsid w:val="32EC217B"/>
    <w:rsid w:val="32FB6E32"/>
    <w:rsid w:val="33F15215"/>
    <w:rsid w:val="38620F4A"/>
    <w:rsid w:val="39072D82"/>
    <w:rsid w:val="3AA307AA"/>
    <w:rsid w:val="3D4A148F"/>
    <w:rsid w:val="3E3C64D5"/>
    <w:rsid w:val="3EBF27E8"/>
    <w:rsid w:val="3EF30615"/>
    <w:rsid w:val="40E057F3"/>
    <w:rsid w:val="442D7AA8"/>
    <w:rsid w:val="48001F9C"/>
    <w:rsid w:val="494D47E1"/>
    <w:rsid w:val="4AE603BD"/>
    <w:rsid w:val="4BB26B7D"/>
    <w:rsid w:val="4EE01C53"/>
    <w:rsid w:val="50250266"/>
    <w:rsid w:val="53303AC0"/>
    <w:rsid w:val="57A36574"/>
    <w:rsid w:val="58D72375"/>
    <w:rsid w:val="59F74833"/>
    <w:rsid w:val="5DAF6DF6"/>
    <w:rsid w:val="63750765"/>
    <w:rsid w:val="668B1476"/>
    <w:rsid w:val="6B1E16E2"/>
    <w:rsid w:val="6DFD20EE"/>
    <w:rsid w:val="724D0AFE"/>
    <w:rsid w:val="726A250D"/>
    <w:rsid w:val="72E83474"/>
    <w:rsid w:val="72F62F44"/>
    <w:rsid w:val="782A75CF"/>
    <w:rsid w:val="78362761"/>
    <w:rsid w:val="7945203E"/>
    <w:rsid w:val="79F966D5"/>
    <w:rsid w:val="7AC64797"/>
    <w:rsid w:val="7BE10C35"/>
    <w:rsid w:val="7D2F777E"/>
    <w:rsid w:val="7DBF4FA6"/>
    <w:rsid w:val="7E036272"/>
    <w:rsid w:val="7E7A2C7B"/>
    <w:rsid w:val="7F0817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keepNext/>
      <w:keepLines/>
      <w:tabs>
        <w:tab w:val="left" w:pos="840"/>
      </w:tabs>
      <w:adjustRightInd w:val="0"/>
      <w:snapToGrid w:val="0"/>
      <w:spacing w:line="360" w:lineRule="auto"/>
      <w:outlineLvl w:val="0"/>
    </w:pPr>
    <w:rPr>
      <w:rFonts w:ascii="宋体"/>
      <w:b/>
      <w:kern w:val="44"/>
      <w:sz w:val="24"/>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1"/>
    <w:autoRedefine/>
    <w:qFormat/>
    <w:uiPriority w:val="0"/>
    <w:pPr>
      <w:ind w:firstLine="420"/>
    </w:pPr>
    <w:rPr>
      <w:szCs w:val="20"/>
    </w:rPr>
  </w:style>
  <w:style w:type="paragraph" w:styleId="5">
    <w:name w:val="annotation text"/>
    <w:basedOn w:val="1"/>
    <w:autoRedefine/>
    <w:qFormat/>
    <w:uiPriority w:val="0"/>
    <w:pPr>
      <w:jc w:val="left"/>
    </w:pPr>
    <w:rPr>
      <w:rFonts w:ascii="Times New Roman" w:hAnsi="Times New Roman" w:eastAsia="宋体" w:cs="Times New Roman"/>
      <w:kern w:val="2"/>
    </w:rPr>
  </w:style>
  <w:style w:type="paragraph" w:styleId="6">
    <w:name w:val="Body Text"/>
    <w:basedOn w:val="1"/>
    <w:next w:val="1"/>
    <w:autoRedefine/>
    <w:qFormat/>
    <w:uiPriority w:val="0"/>
    <w:pPr>
      <w:spacing w:after="120" w:afterLines="0"/>
    </w:pPr>
  </w:style>
  <w:style w:type="paragraph" w:styleId="7">
    <w:name w:val="Body Text Indent"/>
    <w:basedOn w:val="1"/>
    <w:next w:val="8"/>
    <w:autoRedefine/>
    <w:qFormat/>
    <w:uiPriority w:val="0"/>
    <w:pPr>
      <w:ind w:left="480" w:hanging="480" w:hangingChars="200"/>
    </w:pPr>
    <w:rPr>
      <w:rFonts w:ascii="Times New Roman" w:hAnsi="Times New Roman" w:eastAsia="宋体" w:cs="Times New Roman"/>
      <w:sz w:val="24"/>
      <w:szCs w:val="24"/>
    </w:rPr>
  </w:style>
  <w:style w:type="paragraph" w:styleId="8">
    <w:name w:val="Body Text First Indent 2"/>
    <w:basedOn w:val="7"/>
    <w:autoRedefine/>
    <w:semiHidden/>
    <w:unhideWhenUsed/>
    <w:qFormat/>
    <w:uiPriority w:val="99"/>
    <w:pPr>
      <w:ind w:firstLine="420" w:firstLineChars="200"/>
    </w:pPr>
  </w:style>
  <w:style w:type="paragraph" w:styleId="9">
    <w:name w:val="Plain Text"/>
    <w:basedOn w:val="1"/>
    <w:next w:val="10"/>
    <w:autoRedefine/>
    <w:qFormat/>
    <w:uiPriority w:val="0"/>
    <w:pPr>
      <w:spacing w:beforeLines="50" w:afterLines="50" w:line="400" w:lineRule="exact"/>
    </w:pPr>
    <w:rPr>
      <w:rFonts w:ascii="宋体" w:hAnsi="Courier New"/>
      <w:sz w:val="24"/>
    </w:rPr>
  </w:style>
  <w:style w:type="paragraph" w:styleId="10">
    <w:name w:val="toc 2"/>
    <w:basedOn w:val="1"/>
    <w:next w:val="1"/>
    <w:autoRedefine/>
    <w:qFormat/>
    <w:uiPriority w:val="39"/>
    <w:pPr>
      <w:spacing w:before="240" w:beforeLines="0"/>
      <w:jc w:val="left"/>
    </w:pPr>
    <w:rPr>
      <w:rFonts w:ascii="Times New Roman" w:hAnsi="Times New Roman" w:eastAsia="宋体" w:cs="Times New Roman"/>
      <w:b/>
      <w:bCs/>
      <w:sz w:val="20"/>
      <w:szCs w:val="20"/>
    </w:rPr>
  </w:style>
  <w:style w:type="paragraph" w:styleId="11">
    <w:name w:val="endnote text"/>
    <w:basedOn w:val="1"/>
    <w:autoRedefine/>
    <w:unhideWhenUsed/>
    <w:qFormat/>
    <w:uiPriority w:val="99"/>
    <w:pPr>
      <w:snapToGrid w:val="0"/>
      <w:jc w:val="left"/>
    </w:pPr>
    <w:rPr>
      <w:lang w:val="zh-CN"/>
    </w:rPr>
  </w:style>
  <w:style w:type="paragraph" w:styleId="12">
    <w:name w:val="footer"/>
    <w:basedOn w:val="1"/>
    <w:link w:val="25"/>
    <w:autoRedefine/>
    <w:qFormat/>
    <w:uiPriority w:val="0"/>
    <w:pPr>
      <w:tabs>
        <w:tab w:val="center" w:pos="4153"/>
        <w:tab w:val="right" w:pos="8306"/>
      </w:tabs>
      <w:snapToGrid w:val="0"/>
      <w:jc w:val="left"/>
    </w:pPr>
    <w:rPr>
      <w:sz w:val="18"/>
      <w:szCs w:val="18"/>
    </w:rPr>
  </w:style>
  <w:style w:type="paragraph" w:styleId="13">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6"/>
    <w:autoRedefine/>
    <w:semiHidden/>
    <w:unhideWhenUsed/>
    <w:qFormat/>
    <w:uiPriority w:val="99"/>
    <w:pPr>
      <w:ind w:firstLine="420" w:firstLineChars="100"/>
    </w:pPr>
    <w:rPr>
      <w:rFonts w:asciiTheme="minorHAnsi" w:hAnsiTheme="minorHAnsi" w:eastAsiaTheme="minorEastAsia" w:cstheme="minorBidi"/>
      <w:szCs w:val="22"/>
    </w:rPr>
  </w:style>
  <w:style w:type="table" w:styleId="17">
    <w:name w:val="Table Grid"/>
    <w:basedOn w:val="16"/>
    <w:autoRedefine/>
    <w:qFormat/>
    <w:uiPriority w:val="0"/>
    <w:pPr>
      <w:widowControl w:val="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autoRedefine/>
    <w:qFormat/>
    <w:uiPriority w:val="0"/>
    <w:rPr>
      <w:b/>
    </w:rPr>
  </w:style>
  <w:style w:type="paragraph" w:customStyle="1" w:styleId="20">
    <w:name w:val="首行缩进"/>
    <w:basedOn w:val="1"/>
    <w:autoRedefine/>
    <w:qFormat/>
    <w:uiPriority w:val="0"/>
    <w:pPr>
      <w:widowControl/>
      <w:tabs>
        <w:tab w:val="left" w:pos="822"/>
        <w:tab w:val="left" w:pos="1296"/>
      </w:tabs>
      <w:snapToGrid w:val="0"/>
      <w:spacing w:before="40" w:beforeLines="0" w:after="40" w:afterLines="0" w:line="300" w:lineRule="atLeast"/>
      <w:ind w:left="1296" w:hanging="1296"/>
    </w:pPr>
    <w:rPr>
      <w:rFonts w:ascii="Arial" w:hAnsi="Arial" w:eastAsia="宋体" w:cs="Times New Roman"/>
      <w:kern w:val="0"/>
      <w:szCs w:val="20"/>
    </w:rPr>
  </w:style>
  <w:style w:type="paragraph" w:customStyle="1" w:styleId="21">
    <w:name w:val="BodyText1I"/>
    <w:basedOn w:val="22"/>
    <w:autoRedefine/>
    <w:qFormat/>
    <w:uiPriority w:val="0"/>
    <w:pPr>
      <w:ind w:firstLine="420" w:firstLineChars="100"/>
    </w:pPr>
  </w:style>
  <w:style w:type="paragraph" w:customStyle="1" w:styleId="22">
    <w:name w:val="BodyText"/>
    <w:basedOn w:val="1"/>
    <w:autoRedefine/>
    <w:qFormat/>
    <w:uiPriority w:val="0"/>
    <w:pPr>
      <w:spacing w:after="120"/>
    </w:pPr>
  </w:style>
  <w:style w:type="paragraph" w:customStyle="1" w:styleId="23">
    <w:name w:val="表格文字"/>
    <w:basedOn w:val="1"/>
    <w:next w:val="6"/>
    <w:autoRedefine/>
    <w:qFormat/>
    <w:uiPriority w:val="0"/>
    <w:pPr>
      <w:autoSpaceDE w:val="0"/>
      <w:autoSpaceDN w:val="0"/>
      <w:adjustRightInd w:val="0"/>
      <w:spacing w:line="420" w:lineRule="atLeast"/>
      <w:jc w:val="left"/>
      <w:textAlignment w:val="baseline"/>
    </w:pPr>
    <w:rPr>
      <w:rFonts w:hAnsi="宋体" w:cs="宋体"/>
      <w:kern w:val="0"/>
      <w:sz w:val="22"/>
      <w:lang w:val="zh-CN" w:bidi="zh-CN"/>
    </w:rPr>
  </w:style>
  <w:style w:type="character" w:customStyle="1" w:styleId="24">
    <w:name w:val="页眉 Char"/>
    <w:basedOn w:val="18"/>
    <w:link w:val="13"/>
    <w:autoRedefine/>
    <w:qFormat/>
    <w:uiPriority w:val="0"/>
    <w:rPr>
      <w:kern w:val="2"/>
      <w:sz w:val="18"/>
      <w:szCs w:val="18"/>
    </w:rPr>
  </w:style>
  <w:style w:type="character" w:customStyle="1" w:styleId="25">
    <w:name w:val="页脚 Char"/>
    <w:basedOn w:val="18"/>
    <w:link w:val="12"/>
    <w:autoRedefine/>
    <w:qFormat/>
    <w:uiPriority w:val="0"/>
    <w:rPr>
      <w:kern w:val="2"/>
      <w:sz w:val="18"/>
      <w:szCs w:val="18"/>
    </w:rPr>
  </w:style>
  <w:style w:type="paragraph" w:styleId="26">
    <w:name w:val="List Paragraph"/>
    <w:basedOn w:val="1"/>
    <w:autoRedefine/>
    <w:qFormat/>
    <w:uiPriority w:val="0"/>
    <w:pPr>
      <w:ind w:firstLine="420" w:firstLineChars="200"/>
    </w:pPr>
    <w:rPr>
      <w:rFonts w:ascii="Calibri" w:hAnsi="Calibri"/>
      <w:szCs w:val="22"/>
    </w:rPr>
  </w:style>
  <w:style w:type="paragraph" w:customStyle="1" w:styleId="27">
    <w:name w:val="列出段落1"/>
    <w:basedOn w:val="1"/>
    <w:autoRedefine/>
    <w:qFormat/>
    <w:uiPriority w:val="0"/>
    <w:pPr>
      <w:widowControl/>
      <w:spacing w:after="160" w:line="360" w:lineRule="auto"/>
      <w:ind w:left="720"/>
      <w:contextualSpacing/>
      <w:jc w:val="left"/>
    </w:pPr>
    <w:rPr>
      <w:szCs w:val="22"/>
    </w:rPr>
  </w:style>
  <w:style w:type="table" w:customStyle="1" w:styleId="28">
    <w:name w:val="网格型1"/>
    <w:basedOn w:val="1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9">
    <w:name w:val="表格样式 2"/>
    <w:autoRedefine/>
    <w:qFormat/>
    <w:uiPriority w:val="0"/>
    <w:rPr>
      <w:rFonts w:ascii="PingFang SC Regular" w:hAnsi="PingFang SC Regular" w:eastAsia="PingFang SC Regular" w:cs="PingFang SC Regular"/>
      <w:color w:val="000000"/>
      <w:lang w:val="en-US" w:eastAsia="zh-CN" w:bidi="ar-SA"/>
    </w:rPr>
  </w:style>
  <w:style w:type="paragraph" w:customStyle="1" w:styleId="30">
    <w:name w:val="Table Paragraph"/>
    <w:basedOn w:val="1"/>
    <w:autoRedefine/>
    <w:qFormat/>
    <w:uiPriority w:val="1"/>
  </w:style>
  <w:style w:type="paragraph" w:customStyle="1" w:styleId="31">
    <w:name w:val="Default"/>
    <w:autoRedefine/>
    <w:qFormat/>
    <w:uiPriority w:val="0"/>
    <w:pPr>
      <w:widowControl w:val="0"/>
      <w:autoSpaceDE w:val="0"/>
      <w:autoSpaceDN w:val="0"/>
      <w:adjustRightInd w:val="0"/>
    </w:pPr>
    <w:rPr>
      <w:rFonts w:ascii="宋体" w:hAnsi="Times New Roman"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6139</Words>
  <Characters>6341</Characters>
  <Lines>17</Lines>
  <Paragraphs>4</Paragraphs>
  <TotalTime>5</TotalTime>
  <ScaleCrop>false</ScaleCrop>
  <LinksUpToDate>false</LinksUpToDate>
  <CharactersWithSpaces>6395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2019-08-15T01:42:00Z</dcterms:created>
  <dc:creator>小米</dc:creator>
  <cp:lastModifiedBy>市渔业应急处置指挥中心</cp:lastModifiedBy>
  <dcterms:modified xsi:type="dcterms:W3CDTF">2026-09-23T02:15:39Z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BDC350B777C44DFDACB8FBB696258D1E</vt:lpwstr>
  </property>
  <property fmtid="{D5CDD505-2E9C-101B-9397-08002B2CF9AE}" pid="4" name="KSOTemplateDocerSaveRecord">
    <vt:lpwstr>eyJoZGlkIjoiN2YxZDQ3MTlkMjdhZWU4ZDkwNDQ5YjM5NDY0ZDRjNTMiLCJ1c2VySWQiOiIxNjg3MjE4NjkyIn0=</vt:lpwstr>
  </property>
</Properties>
</file>