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D895C">
      <w:pPr>
        <w:topLinePunct w:val="0"/>
        <w:spacing w:line="30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温州市中医院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医保智能审核AI辅助系统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项目</w:t>
      </w:r>
    </w:p>
    <w:p w14:paraId="78FDC620">
      <w:pPr>
        <w:topLinePunct w:val="0"/>
        <w:spacing w:line="30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</w:p>
    <w:p w14:paraId="60A81629">
      <w:pPr>
        <w:spacing w:line="300" w:lineRule="atLeast"/>
        <w:rPr>
          <w:rFonts w:hint="eastAsia" w:ascii="Calibri" w:hAnsi="Calibri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Calibri" w:hAnsi="Calibri"/>
          <w:b/>
          <w:bCs/>
          <w:sz w:val="28"/>
          <w:szCs w:val="28"/>
          <w:lang w:val="en-US" w:eastAsia="zh-CN"/>
        </w:rPr>
        <w:t>项目概况</w:t>
      </w:r>
    </w:p>
    <w:p w14:paraId="77FE2B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00" w:lineRule="auto"/>
        <w:ind w:left="0" w:leftChars="0" w:right="0"/>
        <w:jc w:val="left"/>
        <w:textAlignment w:val="auto"/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lang w:val="en-US" w:eastAsia="zh-CN"/>
          <w:woUserID w:val="0"/>
        </w:rPr>
      </w:pP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  <w:t>项目名称：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lang w:eastAsia="zh-Hans"/>
          <w:woUserID w:val="0"/>
        </w:rPr>
        <w:t>温州市中医院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lang w:val="en-US" w:eastAsia="zh-CN"/>
          <w:woUserID w:val="0"/>
        </w:rPr>
        <w:t>医保智能审核AI辅助系统</w:t>
      </w:r>
    </w:p>
    <w:p w14:paraId="636503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00" w:lineRule="auto"/>
        <w:ind w:left="0" w:leftChars="0" w:right="0"/>
        <w:jc w:val="left"/>
        <w:textAlignment w:val="auto"/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</w:pP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  <w:t>采购方式：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lang w:val="en-US" w:eastAsia="zh-CN"/>
          <w:woUserID w:val="0"/>
        </w:rPr>
        <w:t>院内公开遴选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  <w:t>（非政府采购）</w:t>
      </w:r>
    </w:p>
    <w:p w14:paraId="1E1AEAA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00" w:lineRule="auto"/>
        <w:ind w:left="0" w:leftChars="0" w:right="0"/>
        <w:jc w:val="left"/>
        <w:textAlignment w:val="auto"/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</w:pP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  <w:t>预算金额：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lang w:val="en-US" w:eastAsia="zh-CN"/>
          <w:woUserID w:val="0"/>
        </w:rPr>
        <w:t>50000</w:t>
      </w:r>
      <w:r>
        <w:rPr>
          <w:rFonts w:hint="eastAsia" w:ascii="Calibri" w:hAnsi="Calibri" w:eastAsia="宋体" w:cs="宋体"/>
          <w:b w:val="0"/>
          <w:bCs w:val="0"/>
          <w:color w:val="auto"/>
          <w:kern w:val="0"/>
          <w:sz w:val="24"/>
          <w:szCs w:val="24"/>
          <w:woUserID w:val="0"/>
        </w:rPr>
        <w:t>元/年</w:t>
      </w:r>
    </w:p>
    <w:p w14:paraId="2646A4A8">
      <w:pPr>
        <w:spacing w:line="300" w:lineRule="atLeast"/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bookmarkStart w:id="0" w:name="_Toc4521"/>
      <w:r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  <w:t>二、服务具体要求</w:t>
      </w:r>
      <w:bookmarkEnd w:id="0"/>
    </w:p>
    <w:tbl>
      <w:tblPr>
        <w:tblStyle w:val="29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1307"/>
        <w:gridCol w:w="6048"/>
      </w:tblGrid>
      <w:tr w14:paraId="39F1E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shd w:val="clear" w:color="auto" w:fill="auto"/>
            <w:vAlign w:val="center"/>
          </w:tcPr>
          <w:p w14:paraId="628F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模块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53CA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功能点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1972E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详细参数</w:t>
            </w:r>
          </w:p>
        </w:tc>
      </w:tr>
      <w:tr w14:paraId="595A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restart"/>
            <w:shd w:val="clear" w:color="auto" w:fill="auto"/>
            <w:vAlign w:val="center"/>
          </w:tcPr>
          <w:p w14:paraId="1F1C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AI智能申诉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30D8E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申诉智能分类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1E5817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支持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违规单导入智能审核系统后，根据违规单的内涵，AI大模型可以智能化识别和理解内涵内涵，并根据违规内涵分类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；</w:t>
            </w:r>
          </w:p>
          <w:p w14:paraId="1876F09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rPr>
                <w:rFonts w:hint="default"/>
                <w:b w:val="0"/>
                <w:bCs w:val="0"/>
                <w:color w:val="auto"/>
                <w:szCs w:val="2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2）</w:t>
            </w:r>
            <w:r>
              <w:rPr>
                <w:rFonts w:hint="default"/>
                <w:b w:val="0"/>
                <w:bCs w:val="0"/>
                <w:color w:val="auto"/>
                <w:szCs w:val="20"/>
                <w:lang w:eastAsia="zh-CN"/>
                <w:woUserID w:val="1"/>
              </w:rPr>
              <w:t>AI大模型可以将</w:t>
            </w:r>
            <w:r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  <w:t>违规单智能化分为限适应症、限年龄、超频次、超限额等</w:t>
            </w:r>
            <w:r>
              <w:rPr>
                <w:rFonts w:hint="eastAsia"/>
                <w:b w:val="0"/>
                <w:bCs w:val="0"/>
                <w:color w:val="auto"/>
                <w:szCs w:val="20"/>
                <w:lang w:val="en-US" w:eastAsia="zh-CN"/>
                <w:woUserID w:val="1"/>
              </w:rPr>
              <w:t>类别</w:t>
            </w:r>
            <w:r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  <w:t>，经过智能化分类的违规单，用于后续智能申诉审核推荐</w:t>
            </w:r>
            <w:r>
              <w:rPr>
                <w:rFonts w:hint="eastAsia"/>
                <w:b w:val="0"/>
                <w:bCs w:val="0"/>
                <w:color w:val="auto"/>
                <w:szCs w:val="20"/>
                <w:lang w:eastAsia="zh-CN"/>
                <w:woUserID w:val="1"/>
              </w:rPr>
              <w:t>。</w:t>
            </w:r>
          </w:p>
        </w:tc>
      </w:tr>
      <w:tr w14:paraId="3ACD3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7D03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3635C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智能推荐申诉理由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77C22954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基于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出入院记录、病程记录、手术记录、检验检查报告、病理报告、门诊病历、医嘱单、处方明细、基因检测报告、营养风险评估量表等病历文书数据，通过AI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大模型的上下文理解能力，精准解读医保政策内涵，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针对药品限适应症、诊疗限适应症、过度检查和治疗等类型的扣款项目，可以智能化生成申诉理由；</w:t>
            </w:r>
          </w:p>
          <w:p w14:paraId="6C0A3A5D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2）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AI大模型支持将违规单的智能推荐理由，自动化分类，包括申诉成功高的违规单、以及申诉成功低的违规单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；</w:t>
            </w:r>
          </w:p>
          <w:p w14:paraId="2869438C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3）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针对复杂扣款项目或医保政策要求，AI大模型可以按照具体政策内涵，智能化解析政策的内涵条件，自动化识别内涵关系，逐条解析和理解患者病历与政策内涵匹配程度；通过AI大模型分析的结果，可通过'查看依据'功能直接查看详细病历解读及审核结果。</w:t>
            </w:r>
          </w:p>
        </w:tc>
      </w:tr>
      <w:tr w14:paraId="772C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4566D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7FE03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申诉附件在线截图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6EB63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1）智能申诉功能内置截图助手，通过截图助手，在临床申诉时，可支持跨系统或应用截图，如切换HIS系统或PACS系统；</w:t>
            </w:r>
          </w:p>
          <w:p w14:paraId="2F027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2）截图助手支持连续截图、一键上传附件材料；同时可支持对截图进行自动化命名，在截图过程，截图助手支持对图片的二次标注，如方形标注、圆形标注、文字批注、保存本地等功能</w:t>
            </w:r>
          </w:p>
        </w:tc>
      </w:tr>
      <w:tr w14:paraId="3168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768F8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4B128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申诉材料审核与生成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42C5A8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1）支持对接出入院记录、病程记录、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手术记录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lang w:eastAsia="zh-CN" w:bidi="ar-SA"/>
                <w:woUserID w:val="1"/>
              </w:rPr>
              <w:t>、门诊病历、处方和医嘱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等医疗文书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，能够</w:t>
            </w:r>
            <w:r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  <w:t>快速识别和提取病历文书证据；</w:t>
            </w:r>
          </w:p>
          <w:p w14:paraId="6FBF19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eastAsia="宋体"/>
                <w:b w:val="0"/>
                <w:bCs w:val="0"/>
                <w:color w:val="auto"/>
                <w:szCs w:val="20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  <w:t>2）基于病历文书事实数据，AI大模型可自动输出医疗文书证据来源，如</w:t>
            </w:r>
            <w:r>
              <w:rPr>
                <w:rFonts w:hint="eastAsia"/>
                <w:b w:val="0"/>
                <w:bCs w:val="0"/>
                <w:color w:val="auto"/>
                <w:szCs w:val="20"/>
                <w:lang w:val="en-US" w:eastAsia="zh-CN"/>
                <w:woUserID w:val="1"/>
              </w:rPr>
              <w:t>指定日期</w:t>
            </w:r>
            <w:r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  <w:t>的检验指标和结果、诊断信息等；可通过智能申诉截图助手，以及患者360视图，实现快速、一键截图和申诉附件生成。</w:t>
            </w:r>
          </w:p>
        </w:tc>
      </w:tr>
      <w:tr w14:paraId="1C081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47148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0B5D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局端上传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343E33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支持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通过局端接口将申诉反馈内容及附件上传至局端；</w:t>
            </w:r>
          </w:p>
          <w:p w14:paraId="1E02D677">
            <w:pPr>
              <w:pStyle w:val="36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  <w:t>2）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支持批量上传违规数据。</w:t>
            </w:r>
            <w:r>
              <w:rPr>
                <w:rFonts w:hint="default"/>
                <w:b w:val="0"/>
                <w:bCs w:val="0"/>
                <w:color w:val="auto"/>
                <w:woUserID w:val="1"/>
              </w:rPr>
              <w:t>对于上传的数据，支持查看上传日志</w:t>
            </w:r>
            <w:r>
              <w:rPr>
                <w:rFonts w:hint="eastAsia"/>
                <w:b w:val="0"/>
                <w:bCs w:val="0"/>
                <w:color w:val="auto"/>
                <w:lang w:eastAsia="zh-CN"/>
                <w:woUserID w:val="1"/>
              </w:rPr>
              <w:t>。</w:t>
            </w:r>
          </w:p>
        </w:tc>
      </w:tr>
      <w:tr w14:paraId="764B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restart"/>
            <w:shd w:val="clear" w:color="auto" w:fill="auto"/>
            <w:vAlign w:val="center"/>
          </w:tcPr>
          <w:p w14:paraId="30235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自查自纠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08549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病历文书自查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08597835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支持查看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费用质控和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文书质控规则，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可实现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灵活配置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规则的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开关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；</w:t>
            </w:r>
          </w:p>
          <w:p w14:paraId="1C12452A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2）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对自查自纠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任务，通过配置AI审核开关，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如无指征检查和治疗的违规项目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，实现无指征检查和治疗类项目的AI审核，可减少人工审核工作量；</w:t>
            </w:r>
          </w:p>
          <w:p w14:paraId="18E127AD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3）针对特定的自查违规数据（如过度检查、过度治疗类），通过AI大模型审核，可自动化生成文书质控结果、以及病历文书依据，可辅助医保办和临床快速审核自查违规、实现自查结果的快速上报。</w:t>
            </w:r>
          </w:p>
        </w:tc>
      </w:tr>
      <w:tr w14:paraId="244A4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6CC58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694BB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智能申诉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536BEA44">
            <w:pPr>
              <w:pStyle w:val="67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支持将自查违规结果快速添加至智能申诉模块；</w:t>
            </w:r>
          </w:p>
          <w:p w14:paraId="017541B8">
            <w:pPr>
              <w:pStyle w:val="67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2）AI大模型会对自查结果进行智能化解析，实现违规数据的智能化分类，如药品限适应症、过度检查、过度治疗等</w:t>
            </w:r>
          </w:p>
          <w:p w14:paraId="51C21A1B">
            <w:pPr>
              <w:pStyle w:val="67"/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3）当违规数据需要AI审核时，AI大模型会自动化解析患者病历文书，根据文书内容实现申诉判断和总结，并自动化生成申诉结果和申诉依据；</w:t>
            </w:r>
          </w:p>
        </w:tc>
      </w:tr>
      <w:tr w14:paraId="18F35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restart"/>
            <w:shd w:val="clear" w:color="auto" w:fill="auto"/>
            <w:vAlign w:val="center"/>
          </w:tcPr>
          <w:p w14:paraId="00411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AI事中全病历质控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5DDF9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内涵质控规则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6370D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支持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基于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药品限适应症、诊疗限适应范围、过度检查等规则，结合费用+病历文书，做到双重质控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  <w:woUserID w:val="1"/>
              </w:rPr>
              <w:t>。</w:t>
            </w:r>
          </w:p>
        </w:tc>
      </w:tr>
      <w:tr w14:paraId="30FA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06F72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5273E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病历文书完善度管控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6AC330FC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/>
                <w:woUserID w:val="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针对当天入院患者、在院且产生新治疗的患者，AI大模型可在12~24小时内完成病历文书的预审；</w:t>
            </w:r>
          </w:p>
          <w:p w14:paraId="2F4EF935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2）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医生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开立出院医嘱时，对患者医保用药合规性进行预审，AI智能化分析患者病历书写情况，输出医保限定用药使用是否合规、以及病历文书书写是否完整；</w:t>
            </w:r>
          </w:p>
          <w:p w14:paraId="48119A07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3）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医生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开立出院医嘱时，对患者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检查或治疗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进行预审，AI智能化分析患者病历书写情况，输出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检验、检查和治疗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是否合规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，并提示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病历文书书写完整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情况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；</w:t>
            </w:r>
          </w:p>
          <w:p w14:paraId="25467572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4）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护士办理预出院时，对患者出院前的病历信息预审，AI大模型智能化分析患者医保用药与病历内容的一致性；支持医保专员在线审核，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针对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预出院失败患者，补充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完善信息；</w:t>
            </w:r>
          </w:p>
          <w:p w14:paraId="22D38B47">
            <w:pPr>
              <w:pStyle w:val="6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5）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护士办理预出院时，对患者出院前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检验、检查和治疗等项目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预审，AI大模型智能化分析患者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检验检查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与病历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书写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的一致性；支持医保专员在线审核，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针对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预出院失败患者，补充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eastAsia="zh-CN"/>
                <w:woUserID w:val="1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完善信息；</w:t>
            </w:r>
          </w:p>
          <w:p w14:paraId="1B32768C">
            <w:pPr>
              <w:pStyle w:val="67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6）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woUserID w:val="1"/>
              </w:rPr>
              <w:t>支持医保专员、科主任、医保办管理者，在患者在院期间实时查看病历文书审核结果；对提示给临床的病历文书质控，可实现在线查看和下载；</w:t>
            </w:r>
          </w:p>
        </w:tc>
      </w:tr>
      <w:tr w14:paraId="47CB9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restart"/>
            <w:shd w:val="clear" w:color="auto" w:fill="auto"/>
            <w:vAlign w:val="center"/>
          </w:tcPr>
          <w:p w14:paraId="1159D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AI能力</w:t>
            </w:r>
          </w:p>
        </w:tc>
        <w:tc>
          <w:tcPr>
            <w:tcW w:w="788" w:type="pct"/>
            <w:shd w:val="clear" w:color="auto" w:fill="auto"/>
            <w:vAlign w:val="center"/>
          </w:tcPr>
          <w:p w14:paraId="606AB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规则模型建设能力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437F1A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rPr>
                <w:rFonts w:hint="default"/>
                <w:b w:val="0"/>
                <w:bCs w:val="0"/>
                <w:color w:val="auto"/>
                <w:szCs w:val="20"/>
                <w:highlight w:val="none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1）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  <w:t>有多年限多医院的服务经验与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深度业务沉淀和专业医学知识，共建亿级规则库，实现医疗专业建模、跨模态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病历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特征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提取和融合；</w:t>
            </w:r>
          </w:p>
          <w:p w14:paraId="32F22AB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rPr>
                <w:rFonts w:hint="default"/>
                <w:b w:val="0"/>
                <w:bCs w:val="0"/>
                <w:color w:val="auto"/>
                <w:szCs w:val="20"/>
                <w:highlight w:val="none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</w:rPr>
              <w:t>2）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  <w:t>具备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多智能体协作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  <w:t>能力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，</w:t>
            </w:r>
            <w:r>
              <w:rPr>
                <w:rFonts w:hint="default" w:hAnsi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通过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整合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Qwen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、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Deepseek、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豆包</w:t>
            </w: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、</w:t>
            </w:r>
            <w:r>
              <w:rPr>
                <w:rFonts w:hint="default" w:hAnsi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检索增强模型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等主流大模型，</w:t>
            </w:r>
            <w:r>
              <w:rPr>
                <w:rFonts w:hint="default" w:hAnsi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实现临床知识提取、手术路径生成、医保政策理解、规则任务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分解</w:t>
            </w:r>
            <w:r>
              <w:rPr>
                <w:rFonts w:hint="default" w:hAnsi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等，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对抗验证与幻觉控制，充</w:t>
            </w:r>
            <w:r>
              <w:rPr>
                <w:rFonts w:hint="eastAsia" w:hAnsi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分发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挥各模型优势，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实现规则训练的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对抗验证与幻觉控制，提升整体推理能力与稳定性</w:t>
            </w: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woUserID w:val="1"/>
              </w:rPr>
              <w:t>；</w:t>
            </w:r>
          </w:p>
        </w:tc>
      </w:tr>
      <w:tr w14:paraId="34621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566" w:type="pct"/>
            <w:vMerge w:val="continue"/>
            <w:shd w:val="clear" w:color="auto" w:fill="auto"/>
            <w:vAlign w:val="center"/>
          </w:tcPr>
          <w:p w14:paraId="3F28A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</w:p>
        </w:tc>
        <w:tc>
          <w:tcPr>
            <w:tcW w:w="788" w:type="pct"/>
            <w:shd w:val="clear" w:color="auto" w:fill="auto"/>
            <w:vAlign w:val="center"/>
          </w:tcPr>
          <w:p w14:paraId="250B8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本地化调试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7FBC31E9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rPr>
                <w:rFonts w:hint="default"/>
                <w:b w:val="0"/>
                <w:bCs w:val="0"/>
                <w:color w:val="auto"/>
                <w:szCs w:val="20"/>
                <w:woUserID w:val="1"/>
              </w:rPr>
            </w:pP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具备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规则本地化适配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能力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，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能够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结合本地数据特征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  <w:woUserID w:val="1"/>
              </w:rPr>
              <w:t>，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提供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医学团队支持与政策实时更新机制，确保监管规则快速、准确、全面地落地执行，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实现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智能监管闭环。</w:t>
            </w:r>
          </w:p>
        </w:tc>
      </w:tr>
      <w:tr w14:paraId="04418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1354" w:type="pct"/>
            <w:gridSpan w:val="2"/>
            <w:shd w:val="clear" w:color="auto" w:fill="auto"/>
            <w:vAlign w:val="center"/>
          </w:tcPr>
          <w:p w14:paraId="03D2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default" w:cs="宋体"/>
                <w:b w:val="0"/>
                <w:bCs w:val="0"/>
                <w:color w:val="auto"/>
                <w:kern w:val="0"/>
                <w:sz w:val="24"/>
                <w:szCs w:val="24"/>
                <w:woUserID w:val="1"/>
              </w:rPr>
              <w:t>内涵质控规则库</w:t>
            </w:r>
            <w:r>
              <w:rPr>
                <w:rFonts w:hint="eastAsia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  <w:woUserID w:val="1"/>
              </w:rPr>
              <w:t>管理</w:t>
            </w:r>
          </w:p>
        </w:tc>
        <w:tc>
          <w:tcPr>
            <w:tcW w:w="3645" w:type="pct"/>
            <w:shd w:val="clear" w:color="auto" w:fill="auto"/>
            <w:vAlign w:val="center"/>
          </w:tcPr>
          <w:p w14:paraId="421137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支持查看内涵质控规则明细，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包括规则内涵、内涵质控规则出处、政策来源等信息；</w:t>
            </w:r>
          </w:p>
          <w:p w14:paraId="39833E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2）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支持灵活配置内涵质控的应用场景，如智能申诉场景、事中病历文书质控、事后病历文书质控等；</w:t>
            </w:r>
          </w:p>
          <w:p w14:paraId="6EA7DD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3）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支持内涵质控规则灵活启用和开关；</w:t>
            </w:r>
          </w:p>
          <w:p w14:paraId="5EC172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4）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支持自定义内涵质控的审核范围，如是否审核医保患者、是否审核自费患者等；</w:t>
            </w:r>
          </w:p>
          <w:p w14:paraId="55261F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5）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可在线查看全量内涵质控规则、支持在线下载全量规则明细；</w:t>
            </w:r>
          </w:p>
          <w:p w14:paraId="134A13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jc w:val="left"/>
              <w:rPr>
                <w:rFonts w:hint="eastAsia"/>
                <w:b w:val="0"/>
                <w:bCs w:val="0"/>
                <w:color w:val="auto"/>
                <w:szCs w:val="20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6）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药品限适应症规则：AI大模型对《国家基本医疗保险、工伤保险和生育保险药品目录》中有适应症支付限定的药品进行监管；</w:t>
            </w:r>
          </w:p>
          <w:p w14:paraId="471F9B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7）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诊疗限适应症规则：AI大模型对最新版医疗服务项目分类与代码中有适应症要求、或支付限定的项目进行监管；</w:t>
            </w:r>
          </w:p>
          <w:p w14:paraId="53067D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8）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过度检查内涵规则：AI大模型对患者使用的检查检验，缺乏相应适应症和治疗依据的审核；</w:t>
            </w:r>
          </w:p>
          <w:p w14:paraId="144551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left"/>
              <w:textAlignment w:val="auto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9）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过度治疗内涵规则：临床在医疗服务项目的使用中，AI大模型对无对应的适应症或与疾病治疗的内涵审核；</w:t>
            </w:r>
          </w:p>
          <w:p w14:paraId="140CB4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autoSpaceDE/>
              <w:autoSpaceDN/>
              <w:adjustRightInd/>
              <w:snapToGrid w:val="0"/>
              <w:spacing w:before="0" w:beforeAutospacing="0" w:after="0" w:afterAutospacing="0" w:line="300" w:lineRule="auto"/>
              <w:ind w:left="0" w:right="0"/>
              <w:rPr>
                <w:rFonts w:hint="eastAsia"/>
                <w:b w:val="0"/>
                <w:bCs w:val="0"/>
                <w:color w:val="auto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 w:bidi="ar-SA"/>
                <w:woUserID w:val="1"/>
              </w:rPr>
              <w:t>10）</w:t>
            </w:r>
            <w:r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lang w:eastAsia="zh-CN" w:bidi="ar-SA"/>
                <w:woUserID w:val="1"/>
              </w:rPr>
              <w:t>手术收费与手术记录一致性规则：AI大模型对患者在手术治疗后，针对手术收费与手术记录是否合理、手术治疗是否一致的审核；</w:t>
            </w:r>
          </w:p>
        </w:tc>
      </w:tr>
    </w:tbl>
    <w:p w14:paraId="21DBCA1C">
      <w:pPr>
        <w:rPr>
          <w:rFonts w:hint="eastAsia" w:eastAsia="宋体"/>
        </w:rPr>
      </w:pPr>
      <w:r>
        <w:rPr>
          <w:rFonts w:hint="eastAsia" w:eastAsia="宋体"/>
          <w:lang w:val="en-US" w:eastAsia="zh-CN"/>
        </w:rPr>
        <w:br w:type="page"/>
      </w:r>
    </w:p>
    <w:p w14:paraId="60E46020">
      <w:pPr>
        <w:spacing w:line="300" w:lineRule="atLeast"/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  <w:t>三、招标要求</w:t>
      </w:r>
    </w:p>
    <w:p w14:paraId="1138B095">
      <w:pPr>
        <w:ind w:firstLine="482" w:firstLine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1.付款方式</w:t>
      </w:r>
    </w:p>
    <w:p w14:paraId="46DB09BD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</w:rPr>
      </w:pPr>
      <w:r>
        <w:rPr>
          <w:rFonts w:ascii="宋体" w:hAnsi="宋体" w:eastAsia="宋体" w:cs="宋体"/>
          <w:sz w:val="24"/>
          <w:szCs w:val="24"/>
        </w:rPr>
        <w:t>合同签订后，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参选人</w:t>
      </w:r>
      <w:r>
        <w:rPr>
          <w:rFonts w:ascii="宋体" w:hAnsi="宋体" w:eastAsia="宋体" w:cs="宋体"/>
          <w:sz w:val="24"/>
          <w:szCs w:val="24"/>
        </w:rPr>
        <w:t>完成软件部署上线并交付甲方使用，经甲方确认后，</w:t>
      </w:r>
      <w:r>
        <w:rPr>
          <w:rFonts w:hint="eastAsia" w:ascii="宋体" w:hAnsi="宋体" w:cs="宋体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z w:val="24"/>
          <w:szCs w:val="24"/>
        </w:rPr>
        <w:t>开具合规有效发票，甲方收到发票之日起三个月内支付合同总额50%进度款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。经甲方最终验收同时</w:t>
      </w:r>
      <w:r>
        <w:rPr>
          <w:rFonts w:hint="eastAsia" w:ascii="宋体" w:hAnsi="宋体" w:eastAsia="宋体" w:cs="宋体"/>
          <w:sz w:val="24"/>
          <w:szCs w:val="24"/>
        </w:rPr>
        <w:t>系统稳定运行半年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参选人</w:t>
      </w:r>
      <w:r>
        <w:rPr>
          <w:rFonts w:ascii="宋体" w:hAnsi="宋体" w:eastAsia="宋体" w:cs="宋体"/>
          <w:sz w:val="24"/>
          <w:szCs w:val="24"/>
        </w:rPr>
        <w:t>开具合规有效发票，甲方收到发票之日起三个月内支付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合同总额50%。</w:t>
      </w:r>
    </w:p>
    <w:p w14:paraId="5C1167AF">
      <w:pPr>
        <w:ind w:firstLine="482" w:firstLine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2.售后服务</w:t>
      </w:r>
    </w:p>
    <w:p w14:paraId="22C37E1E">
      <w:pPr>
        <w:ind w:firstLine="480" w:firstLineChars="200"/>
        <w:rPr>
          <w:rFonts w:hint="eastAsia" w:ascii="宋体" w:hAnsi="宋体"/>
          <w:highlight w:val="none"/>
        </w:rPr>
      </w:pPr>
      <w:r>
        <w:rPr>
          <w:rFonts w:hint="eastAsia" w:ascii="宋体" w:hAnsi="宋体"/>
          <w:highlight w:val="none"/>
        </w:rPr>
        <w:t>2.1</w:t>
      </w:r>
      <w:r>
        <w:rPr>
          <w:rFonts w:hint="eastAsia" w:ascii="宋体" w:hAnsi="宋体"/>
          <w:highlight w:val="none"/>
          <w:lang w:val="en-US" w:eastAsia="zh-CN"/>
        </w:rPr>
        <w:t>免费维保</w:t>
      </w:r>
      <w:r>
        <w:rPr>
          <w:rFonts w:hint="eastAsia" w:ascii="宋体" w:hAnsi="宋体" w:cs="宋体"/>
          <w:bCs/>
          <w:color w:val="auto"/>
          <w:szCs w:val="21"/>
        </w:rPr>
        <w:t>服务期：项目上线</w:t>
      </w:r>
      <w:r>
        <w:rPr>
          <w:rFonts w:hint="eastAsia" w:ascii="宋体" w:hAnsi="宋体" w:cs="宋体"/>
          <w:bCs/>
          <w:color w:val="auto"/>
          <w:szCs w:val="21"/>
          <w:lang w:val="en-US" w:eastAsia="zh-CN"/>
        </w:rPr>
        <w:t>验收合格</w:t>
      </w:r>
      <w:r>
        <w:rPr>
          <w:rFonts w:hint="eastAsia" w:ascii="宋体" w:hAnsi="宋体" w:cs="宋体"/>
          <w:bCs/>
          <w:color w:val="auto"/>
          <w:szCs w:val="21"/>
        </w:rPr>
        <w:t>之日起一年</w:t>
      </w:r>
      <w:r>
        <w:rPr>
          <w:rFonts w:hint="eastAsia" w:ascii="宋体" w:hAnsi="宋体"/>
          <w:highlight w:val="none"/>
        </w:rPr>
        <w:t>。</w:t>
      </w:r>
    </w:p>
    <w:p w14:paraId="30AFF610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.2</w:t>
      </w:r>
      <w:r>
        <w:rPr>
          <w:rFonts w:hint="eastAsia" w:ascii="宋体" w:hAnsi="宋体"/>
          <w:lang w:eastAsia="zh-CN"/>
        </w:rPr>
        <w:t>参选人</w:t>
      </w:r>
      <w:r>
        <w:rPr>
          <w:rFonts w:hint="eastAsia" w:ascii="宋体" w:hAnsi="宋体"/>
        </w:rPr>
        <w:t>的服务内容应包括：服务能力、服务时间、人员配备、系统故障响应、诊断、应急处理等。</w:t>
      </w:r>
    </w:p>
    <w:p w14:paraId="002F37F3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.3</w:t>
      </w:r>
      <w:r>
        <w:rPr>
          <w:rFonts w:hint="eastAsia" w:ascii="宋体" w:hAnsi="宋体"/>
          <w:lang w:eastAsia="zh-CN"/>
        </w:rPr>
        <w:t>参选人</w:t>
      </w:r>
      <w:r>
        <w:rPr>
          <w:rFonts w:hint="eastAsia" w:ascii="宋体" w:hAnsi="宋体"/>
        </w:rPr>
        <w:t>的服务响应及维修等承诺，详细说明服务能力、服务时间、人员配备、系统故障响应、应急处理等；</w:t>
      </w:r>
    </w:p>
    <w:p w14:paraId="7C4C4E68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.4在系统的</w:t>
      </w: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期内，</w:t>
      </w:r>
      <w:r>
        <w:rPr>
          <w:rFonts w:hint="eastAsia" w:ascii="宋体" w:hAnsi="宋体"/>
          <w:lang w:eastAsia="zh-CN"/>
        </w:rPr>
        <w:t>参选人</w:t>
      </w:r>
      <w:r>
        <w:rPr>
          <w:rFonts w:hint="eastAsia" w:ascii="宋体" w:hAnsi="宋体"/>
        </w:rPr>
        <w:t>应确保系统的正常使用。在接到用户服务要求后应立即做出回应，并在承诺的服务时间内实施服务。</w:t>
      </w:r>
    </w:p>
    <w:p w14:paraId="74CD92E4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.5 7×24小时的免费上门保修服务半小时内响应，4小时内到达现场，24小时内解决故障。</w:t>
      </w:r>
    </w:p>
    <w:p w14:paraId="778B7B18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.6 热线电话服务提供技术咨询、故障诊断、故障排除、以及现场支持等具体的技术支持工作，并对客户投诉做出相应处理。</w:t>
      </w:r>
    </w:p>
    <w:p w14:paraId="51A0C983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2</w:t>
      </w:r>
      <w:r>
        <w:rPr>
          <w:rFonts w:hint="eastAsia" w:ascii="宋体" w:hAnsi="宋体"/>
        </w:rPr>
        <w:t>.7 定期巡检与调优系统，确保系统始终处于高效率运行状态。</w:t>
      </w:r>
    </w:p>
    <w:p w14:paraId="205F7FFC">
      <w:pPr>
        <w:ind w:firstLine="482" w:firstLine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3.培训</w:t>
      </w:r>
    </w:p>
    <w:p w14:paraId="0ABD99E0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3.1培训：</w:t>
      </w:r>
      <w:r>
        <w:rPr>
          <w:rFonts w:hint="eastAsia" w:ascii="宋体" w:hAnsi="宋体"/>
          <w:lang w:eastAsia="zh-CN"/>
        </w:rPr>
        <w:t>参选人</w:t>
      </w:r>
      <w:r>
        <w:rPr>
          <w:rFonts w:hint="eastAsia" w:ascii="宋体" w:hAnsi="宋体"/>
        </w:rPr>
        <w:t>应制定详细的培训计划，对使用人员进行操作及相关技术培训。</w:t>
      </w:r>
      <w:r>
        <w:rPr>
          <w:rFonts w:hint="eastAsia" w:ascii="宋体" w:hAnsi="宋体"/>
          <w:lang w:eastAsia="zh-CN"/>
        </w:rPr>
        <w:t>参选人</w:t>
      </w:r>
      <w:r>
        <w:rPr>
          <w:rFonts w:hint="eastAsia" w:ascii="宋体" w:hAnsi="宋体"/>
        </w:rPr>
        <w:t>负责用户的现场技术培训，包括产品的功能、部署条件、部署步骤和注意事项、产品升级、日常维护事项等方面，使用户达到能独立进行管理、维护测试和故障处理等工作，以使所提供的软件产品能够正常、安全的运行。</w:t>
      </w:r>
    </w:p>
    <w:p w14:paraId="26C4EA1D">
      <w:pPr>
        <w:ind w:firstLine="480" w:firstLineChars="200"/>
        <w:rPr>
          <w:rFonts w:hint="eastAsia" w:ascii="宋体" w:hAnsi="宋体"/>
        </w:rPr>
      </w:pPr>
      <w:r>
        <w:rPr>
          <w:rFonts w:hint="eastAsia" w:ascii="宋体" w:hAnsi="宋体"/>
        </w:rPr>
        <w:t>3.2所有的培训费用必须计入投标总价。</w:t>
      </w:r>
    </w:p>
    <w:p w14:paraId="07A5D3FF">
      <w:pPr>
        <w:ind w:firstLine="482" w:firstLineChars="200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4.接口对接</w:t>
      </w:r>
    </w:p>
    <w:p w14:paraId="2D63DAFF">
      <w:pPr>
        <w:shd w:val="clear"/>
        <w:ind w:firstLine="480" w:firstLineChars="200"/>
        <w:rPr>
          <w:rFonts w:hint="default" w:ascii="宋体" w:hAnsi="宋体"/>
          <w:highlight w:val="none"/>
          <w:lang w:val="en-US" w:eastAsia="zh-CN"/>
        </w:rPr>
      </w:pPr>
      <w:r>
        <w:rPr>
          <w:rFonts w:hint="default" w:ascii="宋体" w:hAnsi="宋体"/>
          <w:highlight w:val="none"/>
          <w:lang w:val="en-US" w:eastAsia="zh-CN"/>
        </w:rPr>
        <w:t>系统应与我院</w:t>
      </w:r>
      <w:r>
        <w:rPr>
          <w:rFonts w:hint="eastAsia" w:ascii="宋体" w:hAnsi="宋体"/>
          <w:highlight w:val="none"/>
          <w:lang w:val="en-US" w:eastAsia="zh-CN"/>
        </w:rPr>
        <w:t>医保</w:t>
      </w:r>
      <w:r>
        <w:rPr>
          <w:rFonts w:hint="default" w:ascii="宋体" w:hAnsi="宋体"/>
          <w:highlight w:val="none"/>
          <w:lang w:val="en-US" w:eastAsia="zh-CN"/>
        </w:rPr>
        <w:t>智能审核系统无缝衔接。</w:t>
      </w:r>
      <w:r>
        <w:rPr>
          <w:rFonts w:hint="eastAsia" w:ascii="宋体" w:hAnsi="宋体"/>
          <w:highlight w:val="none"/>
          <w:lang w:val="en-US" w:eastAsia="zh-CN"/>
        </w:rPr>
        <w:t>参选人</w:t>
      </w:r>
      <w:r>
        <w:rPr>
          <w:rFonts w:hint="default" w:ascii="宋体" w:hAnsi="宋体"/>
          <w:highlight w:val="none"/>
          <w:lang w:val="en-US" w:eastAsia="zh-CN"/>
        </w:rPr>
        <w:t>应充分考虑所有系统接口对接，</w:t>
      </w:r>
      <w:r>
        <w:rPr>
          <w:rFonts w:hint="eastAsia" w:ascii="宋体" w:hAnsi="宋体" w:cs="Times New Roman"/>
          <w:highlight w:val="none"/>
          <w:lang w:val="en-US" w:eastAsia="zh-CN"/>
        </w:rPr>
        <w:t>须</w:t>
      </w:r>
      <w:r>
        <w:rPr>
          <w:rFonts w:hint="default" w:ascii="宋体" w:hAnsi="宋体"/>
          <w:highlight w:val="none"/>
          <w:lang w:val="en-US" w:eastAsia="zh-CN"/>
        </w:rPr>
        <w:t>提供对接承诺书，采购人不再额外支付费用。</w:t>
      </w:r>
    </w:p>
    <w:p w14:paraId="760E4EF5">
      <w:pPr>
        <w:ind w:firstLine="482" w:firstLineChars="200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5、交货及安装调试</w:t>
      </w:r>
    </w:p>
    <w:p w14:paraId="22AA2573">
      <w:pPr>
        <w:ind w:firstLine="480" w:firstLineChars="200"/>
        <w:rPr>
          <w:rFonts w:hint="eastAsia" w:ascii="宋体" w:hAnsi="宋体"/>
          <w:b w:val="0"/>
          <w:bCs w:val="0"/>
          <w:lang w:val="en-US" w:eastAsia="zh-CN"/>
        </w:rPr>
      </w:pPr>
      <w:r>
        <w:rPr>
          <w:rFonts w:hint="eastAsia" w:ascii="宋体" w:hAnsi="宋体"/>
          <w:b w:val="0"/>
          <w:bCs w:val="0"/>
          <w:lang w:val="en-US" w:eastAsia="zh-CN"/>
        </w:rPr>
        <w:t>5.1服务地点：医院指定地点。</w:t>
      </w:r>
    </w:p>
    <w:p w14:paraId="34F7276E">
      <w:pPr>
        <w:ind w:firstLine="480" w:firstLineChars="200"/>
        <w:rPr>
          <w:rFonts w:hint="eastAsia" w:ascii="宋体" w:hAnsi="宋体"/>
          <w:b w:val="0"/>
          <w:bCs w:val="0"/>
          <w:lang w:val="en-US" w:eastAsia="zh-CN"/>
        </w:rPr>
      </w:pPr>
      <w:r>
        <w:rPr>
          <w:rFonts w:hint="eastAsia" w:ascii="宋体" w:hAnsi="宋体"/>
          <w:b w:val="0"/>
          <w:bCs w:val="0"/>
          <w:lang w:val="en-US" w:eastAsia="zh-CN"/>
        </w:rPr>
        <w:t>5.2交付时间：</w:t>
      </w:r>
      <w:r>
        <w:rPr>
          <w:rFonts w:ascii="宋体" w:hAnsi="宋体" w:eastAsia="宋体" w:cs="宋体"/>
          <w:sz w:val="24"/>
          <w:szCs w:val="24"/>
        </w:rPr>
        <w:t>自合同签订后60天内，完成软件部署上线并交付使用(因医院硬件环境准备、第三方系统接口对接、政策文件未下发等造成的工期延迟不计算在内)。</w:t>
      </w:r>
      <w:r>
        <w:rPr>
          <w:rFonts w:hint="eastAsia" w:ascii="宋体" w:hAnsi="宋体"/>
          <w:b w:val="0"/>
          <w:bCs w:val="0"/>
          <w:lang w:val="en-US" w:eastAsia="zh-CN"/>
        </w:rPr>
        <w:t>如在规定的时间内由于参选人的原因不能完成安装和调试，参选人应承担由此给用户造成的损失。</w:t>
      </w:r>
    </w:p>
    <w:p w14:paraId="3E39CFF2">
      <w:pPr>
        <w:ind w:firstLine="480" w:firstLineChars="200"/>
        <w:rPr>
          <w:rFonts w:hint="eastAsia" w:ascii="宋体" w:hAnsi="宋体"/>
          <w:b w:val="0"/>
          <w:bCs w:val="0"/>
          <w:lang w:val="en-US" w:eastAsia="zh-CN"/>
        </w:rPr>
      </w:pPr>
      <w:r>
        <w:rPr>
          <w:rFonts w:hint="eastAsia" w:ascii="宋体" w:hAnsi="宋体"/>
          <w:b w:val="0"/>
          <w:bCs w:val="0"/>
          <w:lang w:val="en-US" w:eastAsia="zh-CN"/>
        </w:rPr>
        <w:t>5.3服务标准：符合我国国家有关技术规范要求和技术标准。</w:t>
      </w:r>
    </w:p>
    <w:p w14:paraId="61A35EB0">
      <w:pPr>
        <w:ind w:firstLine="480" w:firstLineChars="200"/>
        <w:rPr>
          <w:rFonts w:hint="eastAsia" w:ascii="宋体" w:hAnsi="宋体"/>
          <w:b w:val="0"/>
          <w:bCs w:val="0"/>
          <w:lang w:val="en-US" w:eastAsia="zh-CN"/>
        </w:rPr>
      </w:pPr>
      <w:r>
        <w:rPr>
          <w:rFonts w:hint="eastAsia" w:ascii="宋体" w:hAnsi="宋体"/>
          <w:b w:val="0"/>
          <w:bCs w:val="0"/>
          <w:lang w:val="en-US" w:eastAsia="zh-CN"/>
        </w:rPr>
        <w:t>5.4交付调试过程中发生的费用由参选人负责。</w:t>
      </w:r>
    </w:p>
    <w:p w14:paraId="5F00D8E4">
      <w:pPr>
        <w:ind w:firstLine="480" w:firstLineChars="200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 w:val="0"/>
          <w:bCs w:val="0"/>
          <w:lang w:val="en-US" w:eastAsia="zh-CN"/>
        </w:rPr>
        <w:t>5.5在项目实施过程中，向医院提供齐全的电子版和书面的操作说明等文档。</w:t>
      </w:r>
    </w:p>
    <w:p w14:paraId="2A05065A">
      <w:pPr>
        <w:ind w:firstLine="482" w:firstLineChars="200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  <w:lang w:val="en-US" w:eastAsia="zh-CN"/>
        </w:rPr>
        <w:t>6</w:t>
      </w:r>
      <w:r>
        <w:rPr>
          <w:rFonts w:hint="eastAsia" w:ascii="宋体" w:hAnsi="宋体"/>
          <w:b/>
          <w:bCs/>
        </w:rPr>
        <w:t>.报价方式</w:t>
      </w:r>
    </w:p>
    <w:p w14:paraId="1DD16464">
      <w:pPr>
        <w:ind w:firstLine="480"/>
        <w:rPr>
          <w:rFonts w:hint="eastAsia" w:ascii="宋体" w:hAnsi="宋体"/>
        </w:rPr>
      </w:pPr>
      <w:r>
        <w:rPr>
          <w:rFonts w:hint="eastAsia" w:ascii="宋体" w:hAnsi="宋体"/>
        </w:rPr>
        <w:t>所有报价为到医院人民币价（含一切税费、安装调试等伴随服务费）。</w:t>
      </w:r>
    </w:p>
    <w:p w14:paraId="3CD8734A">
      <w:pPr>
        <w:spacing w:line="300" w:lineRule="atLeast"/>
        <w:rPr>
          <w:rFonts w:hint="eastAsia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ascii="宋体" w:hAnsi="宋体"/>
        </w:rPr>
        <w:br w:type="page"/>
      </w:r>
      <w:bookmarkStart w:id="1" w:name="_Toc18730"/>
      <w:r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  <w:t>四、评分标准</w:t>
      </w:r>
      <w:bookmarkEnd w:id="1"/>
    </w:p>
    <w:tbl>
      <w:tblPr>
        <w:tblStyle w:val="29"/>
        <w:tblW w:w="8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92"/>
        <w:gridCol w:w="7002"/>
      </w:tblGrid>
      <w:tr w14:paraId="6041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56CBB83F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评分项目</w:t>
            </w:r>
          </w:p>
        </w:tc>
        <w:tc>
          <w:tcPr>
            <w:tcW w:w="992" w:type="dxa"/>
            <w:vAlign w:val="center"/>
          </w:tcPr>
          <w:p w14:paraId="606824F9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分值</w:t>
            </w:r>
          </w:p>
        </w:tc>
        <w:tc>
          <w:tcPr>
            <w:tcW w:w="7002" w:type="dxa"/>
            <w:vAlign w:val="center"/>
          </w:tcPr>
          <w:p w14:paraId="165F475E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评标要点及说明</w:t>
            </w:r>
          </w:p>
        </w:tc>
      </w:tr>
      <w:tr w14:paraId="266AB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40" w:type="dxa"/>
            <w:gridSpan w:val="3"/>
            <w:vAlign w:val="center"/>
          </w:tcPr>
          <w:p w14:paraId="4D969F51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一、报价部分（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0分）</w:t>
            </w:r>
          </w:p>
        </w:tc>
      </w:tr>
      <w:tr w14:paraId="6CC48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67AC8A64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投标报价</w:t>
            </w:r>
          </w:p>
        </w:tc>
        <w:tc>
          <w:tcPr>
            <w:tcW w:w="992" w:type="dxa"/>
            <w:vAlign w:val="center"/>
          </w:tcPr>
          <w:p w14:paraId="6146110B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</w:t>
            </w:r>
          </w:p>
        </w:tc>
        <w:tc>
          <w:tcPr>
            <w:tcW w:w="7002" w:type="dxa"/>
            <w:vAlign w:val="center"/>
          </w:tcPr>
          <w:p w14:paraId="0F56568F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满足招标文件要求且有效投标价格中的最低价（评审价）为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评审基准价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，其价格分为满分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0分。</w:t>
            </w:r>
          </w:p>
          <w:p w14:paraId="7E436FD5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的价格分统一按照下列公式计算：</w:t>
            </w:r>
          </w:p>
          <w:p w14:paraId="2A4F97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投标报价得分=（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评审基准价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/投标报价）×价格权值（即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0%）×100</w:t>
            </w:r>
          </w:p>
        </w:tc>
      </w:tr>
      <w:tr w14:paraId="568B6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40" w:type="dxa"/>
            <w:gridSpan w:val="3"/>
            <w:vAlign w:val="center"/>
          </w:tcPr>
          <w:p w14:paraId="4A3B0DC0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二、技术部分（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分）</w:t>
            </w:r>
          </w:p>
        </w:tc>
      </w:tr>
      <w:tr w14:paraId="108B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6C9022E0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功能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要求</w:t>
            </w:r>
          </w:p>
        </w:tc>
        <w:tc>
          <w:tcPr>
            <w:tcW w:w="992" w:type="dxa"/>
            <w:vAlign w:val="center"/>
          </w:tcPr>
          <w:p w14:paraId="1569F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7002" w:type="dxa"/>
            <w:vAlign w:val="center"/>
          </w:tcPr>
          <w:p w14:paraId="5DF96A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根据“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功能需求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”中的响应情况进行打分，标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项属于重要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功能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，一项不满足，扣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分，一般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功能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（非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项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）一项不满足扣1分，扣完为止。</w:t>
            </w:r>
          </w:p>
          <w:p w14:paraId="1278B8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注：标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lang w:val="en-US" w:eastAsia="zh-CN"/>
                <w:woUserID w:val="1"/>
              </w:rPr>
              <w:t>★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项须提供对应功能软件界面截图材料作为佐证，否则不得分。</w:t>
            </w:r>
          </w:p>
        </w:tc>
      </w:tr>
      <w:tr w14:paraId="3EB07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06305493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技术设计方案</w:t>
            </w:r>
          </w:p>
        </w:tc>
        <w:tc>
          <w:tcPr>
            <w:tcW w:w="992" w:type="dxa"/>
            <w:vAlign w:val="center"/>
          </w:tcPr>
          <w:p w14:paraId="59FED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002" w:type="dxa"/>
            <w:vAlign w:val="center"/>
          </w:tcPr>
          <w:p w14:paraId="06890B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提供详细的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技术设计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方案，内容包括①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总体设计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功能需求分析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③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重难点分析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、④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数据架构设计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、⑤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接口对接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等内容。</w:t>
            </w:r>
          </w:p>
          <w:p w14:paraId="095F3C03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1）方案内容完整全面，思路清晰，具有较强的科学性、合理性和可执行性，得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4"/>
              </w:rPr>
              <w:t>分；</w:t>
            </w:r>
          </w:p>
          <w:p w14:paraId="62181E32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2）方案内容较完整，思路基本清晰，科学性、合理性和可执行性一般，得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4"/>
              </w:rPr>
              <w:t>分；</w:t>
            </w:r>
          </w:p>
          <w:p w14:paraId="7207AB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4"/>
              </w:rPr>
              <w:t>3）无实施方案的，得0分。</w:t>
            </w:r>
          </w:p>
        </w:tc>
      </w:tr>
      <w:tr w14:paraId="10F6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1176D92F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实施方案</w:t>
            </w:r>
          </w:p>
        </w:tc>
        <w:tc>
          <w:tcPr>
            <w:tcW w:w="992" w:type="dxa"/>
            <w:vAlign w:val="center"/>
          </w:tcPr>
          <w:p w14:paraId="003A92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02" w:type="dxa"/>
            <w:vAlign w:val="center"/>
          </w:tcPr>
          <w:p w14:paraId="2206CA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提供详细的实施方案，内容包括①系统实施过程方案、②项目组织管理计划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③项目进度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保障措施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、④项目质量保障措施、⑤信息安全管理措施等内容。</w:t>
            </w:r>
          </w:p>
          <w:p w14:paraId="5CFB4556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1）方案内容完整全面，思路清晰，具有较强的科学性、合理性和可执行性，得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4"/>
              </w:rPr>
              <w:t>分；</w:t>
            </w:r>
          </w:p>
          <w:p w14:paraId="27B31C7F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2）方案内容较完整，思路基本清晰，科学性、合理性和可执行性一般，得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4"/>
              </w:rPr>
              <w:t>分；</w:t>
            </w:r>
          </w:p>
          <w:p w14:paraId="0EC650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4"/>
              </w:rPr>
              <w:t>3）无实施方案的，得0分。</w:t>
            </w:r>
          </w:p>
        </w:tc>
      </w:tr>
      <w:tr w14:paraId="10BDF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5FB6C998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售后服务方案</w:t>
            </w:r>
          </w:p>
        </w:tc>
        <w:tc>
          <w:tcPr>
            <w:tcW w:w="992" w:type="dxa"/>
            <w:vAlign w:val="center"/>
          </w:tcPr>
          <w:p w14:paraId="5381A5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7002" w:type="dxa"/>
            <w:vAlign w:val="center"/>
          </w:tcPr>
          <w:p w14:paraId="7471B9D2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提供针对本项目的售后服务方案，内容包含①售后服务承诺、②售后服务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流程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售后服务内容、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④响应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机制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、⑤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故障应急预案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等内容。</w:t>
            </w:r>
          </w:p>
          <w:p w14:paraId="60FC8FBA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1）方案全面合理，服务流程及内容具体，响应时间迅速，服务人员齐备，得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szCs w:val="24"/>
              </w:rPr>
              <w:t>分。</w:t>
            </w:r>
          </w:p>
          <w:p w14:paraId="56434280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2）售后服务方案较一般，有基本服务流程及内容，服务人员匹配基本满足需求，得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4"/>
              </w:rPr>
              <w:t>分。</w:t>
            </w:r>
          </w:p>
          <w:p w14:paraId="6572F8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4"/>
              </w:rPr>
              <w:t>3）不提供或提供的方案不合理的，不得分。</w:t>
            </w:r>
          </w:p>
        </w:tc>
      </w:tr>
      <w:tr w14:paraId="33E7D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40775484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培训方案</w:t>
            </w:r>
          </w:p>
        </w:tc>
        <w:tc>
          <w:tcPr>
            <w:tcW w:w="992" w:type="dxa"/>
            <w:vAlign w:val="center"/>
          </w:tcPr>
          <w:p w14:paraId="602F52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02" w:type="dxa"/>
            <w:vAlign w:val="center"/>
          </w:tcPr>
          <w:p w14:paraId="33E443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提供详细的培训方案，内容包括①培训目标、②培训内容、③培训管理制度、④培训计划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⑤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培训形式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等。</w:t>
            </w:r>
          </w:p>
          <w:p w14:paraId="232C5D79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1）培训计划科学合理，培训内容全面，培训时间可行，培训重点突出，得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4"/>
              </w:rPr>
              <w:t>分。</w:t>
            </w:r>
          </w:p>
          <w:p w14:paraId="40F6BF28">
            <w:pPr>
              <w:pStyle w:val="13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2）培训计划及培训内容一般，得2分。</w:t>
            </w:r>
          </w:p>
          <w:p w14:paraId="0CC409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Cs w:val="24"/>
              </w:rPr>
              <w:t>3）不提供或提供的方案不合理的，不得分。</w:t>
            </w:r>
          </w:p>
        </w:tc>
      </w:tr>
      <w:tr w14:paraId="6F53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40" w:type="dxa"/>
            <w:gridSpan w:val="3"/>
            <w:vAlign w:val="center"/>
          </w:tcPr>
          <w:p w14:paraId="33C7AC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商务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部分（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分）</w:t>
            </w:r>
          </w:p>
        </w:tc>
      </w:tr>
      <w:tr w14:paraId="266E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017A5A53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资质证书</w:t>
            </w:r>
          </w:p>
        </w:tc>
        <w:tc>
          <w:tcPr>
            <w:tcW w:w="992" w:type="dxa"/>
            <w:vAlign w:val="center"/>
          </w:tcPr>
          <w:p w14:paraId="5A5CAA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02" w:type="dxa"/>
            <w:vAlign w:val="center"/>
          </w:tcPr>
          <w:p w14:paraId="2CF43E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）所投产品具有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网络安全登记保护备案证明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（三级或以上）得2分；</w:t>
            </w:r>
          </w:p>
          <w:p w14:paraId="02197D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具有隐私信息管理体系认证证书的得2分。</w:t>
            </w:r>
          </w:p>
          <w:p w14:paraId="3F2009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注：以上材料需提供有效期内的证书复印件并加盖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公章，材料主体名称必须与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名称完全相符，且证书取得时间不得迟于招标公告发出时间。</w:t>
            </w:r>
          </w:p>
        </w:tc>
      </w:tr>
      <w:tr w14:paraId="4030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24F709D9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系统研发能力认证</w:t>
            </w:r>
          </w:p>
        </w:tc>
        <w:tc>
          <w:tcPr>
            <w:tcW w:w="992" w:type="dxa"/>
            <w:vAlign w:val="center"/>
          </w:tcPr>
          <w:p w14:paraId="7A43C3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002" w:type="dxa"/>
            <w:vAlign w:val="center"/>
          </w:tcPr>
          <w:p w14:paraId="4B65353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提供AI内涵质控系统相关的计算机软件著作权登记证书复印件，每具备一项得1分，最高得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分。</w:t>
            </w:r>
          </w:p>
        </w:tc>
      </w:tr>
      <w:tr w14:paraId="5A5F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Align w:val="center"/>
          </w:tcPr>
          <w:p w14:paraId="651F52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业绩</w:t>
            </w:r>
          </w:p>
        </w:tc>
        <w:tc>
          <w:tcPr>
            <w:tcW w:w="992" w:type="dxa"/>
            <w:vAlign w:val="center"/>
          </w:tcPr>
          <w:p w14:paraId="7EA90B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002" w:type="dxa"/>
            <w:vAlign w:val="center"/>
          </w:tcPr>
          <w:p w14:paraId="56CB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提供202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年1月1日以来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以合同签订时间为准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以参选人名义承担过与AI分析相关的业绩，每提供一份业绩合同复印件得1分，最高得3分。</w:t>
            </w:r>
          </w:p>
          <w:p w14:paraId="5C0C5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须提供案例项目合同复印件并加盖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参选人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公章，不提供或提供有缺项不得分。</w:t>
            </w:r>
          </w:p>
        </w:tc>
      </w:tr>
      <w:tr w14:paraId="5FF1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Merge w:val="restart"/>
            <w:vAlign w:val="center"/>
          </w:tcPr>
          <w:p w14:paraId="2946B8A6">
            <w:pPr>
              <w:keepNext w:val="0"/>
              <w:keepLines w:val="0"/>
              <w:pageBreakBefore w:val="0"/>
              <w:suppressLineNumbers w:val="0"/>
              <w:tabs>
                <w:tab w:val="left" w:pos="5130"/>
              </w:tabs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项目团队人员</w:t>
            </w:r>
          </w:p>
        </w:tc>
        <w:tc>
          <w:tcPr>
            <w:tcW w:w="992" w:type="dxa"/>
            <w:vMerge w:val="restart"/>
            <w:vAlign w:val="center"/>
          </w:tcPr>
          <w:p w14:paraId="3B61C5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002" w:type="dxa"/>
            <w:vAlign w:val="center"/>
          </w:tcPr>
          <w:p w14:paraId="2297D6A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1、项目组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具有高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</w:rPr>
              <w:t>信息系统项目管理师证书、软件设计师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val="en-US" w:eastAsia="zh-CN"/>
              </w:rPr>
              <w:t>证书、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</w:rPr>
              <w:t>数据库系统工程师证书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bCs/>
                <w:sz w:val="24"/>
                <w:szCs w:val="24"/>
                <w:highlight w:val="none"/>
                <w:lang w:val="en-US" w:eastAsia="zh-CN"/>
              </w:rPr>
              <w:t>每有一个证书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最高得三分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；</w:t>
            </w:r>
          </w:p>
          <w:p w14:paraId="7C3DE2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【须提供中华人民共和国人力资源和社会保障部、中华人民共和国工业和信息化部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联合颁发的证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书复印件并加盖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参选人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公章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，并附上拟派单位为相关人员缴交的近三个月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内任意一个月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的社保缴费证明材料佐证，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否则不得分。】</w:t>
            </w:r>
          </w:p>
        </w:tc>
      </w:tr>
      <w:tr w14:paraId="5D42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Merge w:val="continue"/>
            <w:vAlign w:val="center"/>
          </w:tcPr>
          <w:p w14:paraId="3D9977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/>
                <w:szCs w:val="20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6ECCB0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/>
                <w:szCs w:val="20"/>
              </w:rPr>
            </w:pPr>
          </w:p>
        </w:tc>
        <w:tc>
          <w:tcPr>
            <w:tcW w:w="7002" w:type="dxa"/>
            <w:vAlign w:val="center"/>
          </w:tcPr>
          <w:p w14:paraId="533133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拟投入的医保咨询人员（1人）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val="en-US" w:eastAsia="zh-CN"/>
              </w:rPr>
              <w:t>须为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参选人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val="en-US" w:eastAsia="zh-CN"/>
              </w:rPr>
              <w:t>自有人员，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医保咨询人员具有卫生专业技术资格中级及以上证书的，每提供一个证书得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分，本项满分为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分。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【须提供中华人民共和国人力资源和社会保障部、中华人民共和国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国家卫生健康委员会联合颁发的证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书复印件并加盖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参选人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公章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，并附上拟派单位为相关人员缴交的近三个月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内任意一个月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的社保缴费证明材料佐证，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否则不得分。】</w:t>
            </w:r>
          </w:p>
        </w:tc>
      </w:tr>
      <w:tr w14:paraId="3EE2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46" w:type="dxa"/>
            <w:vMerge w:val="continue"/>
            <w:vAlign w:val="center"/>
          </w:tcPr>
          <w:p w14:paraId="32976C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/>
                <w:szCs w:val="20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2CD1F9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default"/>
                <w:szCs w:val="20"/>
              </w:rPr>
            </w:pPr>
          </w:p>
        </w:tc>
        <w:tc>
          <w:tcPr>
            <w:tcW w:w="7002" w:type="dxa"/>
            <w:vAlign w:val="center"/>
          </w:tcPr>
          <w:p w14:paraId="4E28E6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/>
              <w:autoSpaceDE/>
              <w:autoSpaceDN/>
              <w:bidi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拟投入的数据分析人员（1人）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val="en-US" w:eastAsia="zh-CN"/>
              </w:rPr>
              <w:t>须为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/>
              </w:rPr>
              <w:t>参选人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highlight w:val="none"/>
                <w:lang w:val="en-US" w:eastAsia="zh-CN"/>
              </w:rPr>
              <w:t>自有人员，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数据分析人员具有统计专业技术资格中级及以上证书的，每提供一个证书得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分，本项满分为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分。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【须提供中华人民共和国人力资源和社会保障部、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国家统计局联合颁发的证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书复印件并加盖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参选人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公章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，并附上拟派单位为相关人员缴交的近三个月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内任意一个月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val="en-US" w:eastAsia="zh-CN"/>
              </w:rPr>
              <w:t>的社保缴费证明材料佐证，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highlight w:val="none"/>
                <w:lang w:eastAsia="zh-CN"/>
              </w:rPr>
              <w:t>否则不得分。】</w:t>
            </w:r>
          </w:p>
        </w:tc>
      </w:tr>
    </w:tbl>
    <w:p w14:paraId="437307EC">
      <w:pPr>
        <w:spacing w:line="300" w:lineRule="atLeast"/>
        <w:rPr>
          <w:rFonts w:hint="eastAsia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2" w:name="_Toc8618"/>
      <w:bookmarkStart w:id="3" w:name="_Toc11964"/>
    </w:p>
    <w:p w14:paraId="3B0EEF77">
      <w:pPr>
        <w:spacing w:line="300" w:lineRule="atLeast"/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kern w:val="2"/>
          <w:sz w:val="28"/>
          <w:szCs w:val="28"/>
          <w:lang w:val="en-US" w:eastAsia="zh-CN" w:bidi="ar-SA"/>
        </w:rPr>
        <w:t>五、评分细则</w:t>
      </w:r>
    </w:p>
    <w:p w14:paraId="70C233C7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1、技术分的评定（70分)（权值70%）</w:t>
      </w:r>
    </w:p>
    <w:p w14:paraId="08BF1913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各评委成员按下列评分项目进行评判，每人一张评分计算票，并记名。投标文件各项评分内容由</w:t>
      </w:r>
      <w:r>
        <w:rPr>
          <w:rFonts w:hint="eastAsia" w:ascii="宋体" w:hAnsi="宋体" w:cs="宋体"/>
          <w:sz w:val="24"/>
          <w:lang w:eastAsia="zh-CN"/>
        </w:rPr>
        <w:t>评审小组</w:t>
      </w:r>
      <w:r>
        <w:rPr>
          <w:rFonts w:hint="eastAsia" w:ascii="宋体" w:hAnsi="宋体" w:cs="宋体"/>
          <w:sz w:val="24"/>
        </w:rPr>
        <w:t>成员各自评分，如某张票的一个因素项目超过规定的范围，则该张票无效。各</w:t>
      </w:r>
      <w:r>
        <w:rPr>
          <w:rFonts w:hint="eastAsia" w:ascii="宋体" w:hAnsi="宋体" w:cs="宋体"/>
          <w:sz w:val="24"/>
          <w:lang w:eastAsia="zh-CN"/>
        </w:rPr>
        <w:t>评审小组</w:t>
      </w:r>
      <w:r>
        <w:rPr>
          <w:rFonts w:hint="eastAsia" w:ascii="宋体" w:hAnsi="宋体" w:cs="宋体"/>
          <w:sz w:val="24"/>
        </w:rPr>
        <w:t>成员对各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的各项评分内容评分的算术平均值为各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技术分得分（小数点后按四舍五入保留2位）。</w:t>
      </w:r>
    </w:p>
    <w:p w14:paraId="41BF590E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2、商务标（报价）30分（权值30%）</w:t>
      </w:r>
    </w:p>
    <w:p w14:paraId="11E32235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满足招标文件要求且报价最低的报价为评审基准价，其余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报价与该基准价对比，计算出商务报价评分值（保留小数2位）：</w:t>
      </w:r>
    </w:p>
    <w:p w14:paraId="3D0C1D07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1）有效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的报价等于评审基准价时其报价分为满分30分；</w:t>
      </w:r>
    </w:p>
    <w:p w14:paraId="627845C7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2）其他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的价格分按以下公式计算：</w:t>
      </w:r>
    </w:p>
    <w:p w14:paraId="244D00A9">
      <w:pPr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报价得分=（</w:t>
      </w:r>
      <w:r>
        <w:rPr>
          <w:rFonts w:hint="eastAsia" w:ascii="宋体" w:hAnsi="宋体" w:cs="宋体"/>
          <w:sz w:val="24"/>
          <w:lang w:eastAsia="zh-CN"/>
        </w:rPr>
        <w:t>评审基准价</w:t>
      </w:r>
      <w:r>
        <w:rPr>
          <w:rFonts w:hint="eastAsia" w:ascii="宋体" w:hAnsi="宋体" w:cs="宋体"/>
          <w:sz w:val="24"/>
        </w:rPr>
        <w:t>/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投标报价）× 价格权值 ×100（保留小数2位）</w:t>
      </w:r>
    </w:p>
    <w:p w14:paraId="51C849B8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3、有效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的综合得分为技术分和商务（报价）分的总和。</w:t>
      </w:r>
    </w:p>
    <w:p w14:paraId="4B1590C5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评审小组</w:t>
      </w:r>
      <w:r>
        <w:rPr>
          <w:rFonts w:hint="eastAsia" w:ascii="宋体" w:hAnsi="宋体" w:cs="宋体"/>
          <w:sz w:val="24"/>
        </w:rPr>
        <w:t>认为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的报价明显低于其他通过符合性审查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的报价，有可能影响产品质量或者不能诚信履约的，应当要求其在评标现场合理的时间内提供书面说明，必要时提交相关证明材料；</w:t>
      </w:r>
      <w:r>
        <w:rPr>
          <w:rFonts w:hint="eastAsia" w:ascii="宋体" w:hAnsi="宋体" w:cs="宋体"/>
          <w:sz w:val="24"/>
          <w:lang w:eastAsia="zh-CN"/>
        </w:rPr>
        <w:t>参选人</w:t>
      </w:r>
      <w:r>
        <w:rPr>
          <w:rFonts w:hint="eastAsia" w:ascii="宋体" w:hAnsi="宋体" w:cs="宋体"/>
          <w:sz w:val="24"/>
        </w:rPr>
        <w:t>不能证明其报价合理性的，</w:t>
      </w:r>
      <w:r>
        <w:rPr>
          <w:rFonts w:hint="eastAsia" w:ascii="宋体" w:hAnsi="宋体" w:cs="宋体"/>
          <w:sz w:val="24"/>
          <w:lang w:eastAsia="zh-CN"/>
        </w:rPr>
        <w:t>评审小组</w:t>
      </w:r>
      <w:r>
        <w:rPr>
          <w:rFonts w:hint="eastAsia" w:ascii="宋体" w:hAnsi="宋体" w:cs="宋体"/>
          <w:sz w:val="24"/>
        </w:rPr>
        <w:t>应当将其作为无效投标处理。</w:t>
      </w:r>
    </w:p>
    <w:p w14:paraId="051907CB">
      <w:pPr>
        <w:tabs>
          <w:tab w:val="left" w:pos="774"/>
        </w:tabs>
        <w:autoSpaceDE w:val="0"/>
        <w:autoSpaceDN w:val="0"/>
        <w:spacing w:before="240" w:line="276" w:lineRule="auto"/>
        <w:ind w:left="774" w:hanging="576"/>
        <w:jc w:val="center"/>
        <w:outlineLvl w:val="2"/>
        <w:rPr>
          <w:rFonts w:hint="eastAsia" w:ascii="宋体" w:hAnsi="宋体" w:cs="宋体"/>
          <w:b/>
          <w:sz w:val="28"/>
          <w:szCs w:val="28"/>
          <w:lang w:val="zh-CN"/>
        </w:rPr>
      </w:pPr>
    </w:p>
    <w:p w14:paraId="6A64CB9A">
      <w:pPr>
        <w:tabs>
          <w:tab w:val="left" w:pos="774"/>
        </w:tabs>
        <w:autoSpaceDE w:val="0"/>
        <w:autoSpaceDN w:val="0"/>
        <w:spacing w:before="240" w:line="276" w:lineRule="auto"/>
        <w:ind w:left="774" w:hanging="576"/>
        <w:jc w:val="center"/>
        <w:outlineLvl w:val="2"/>
        <w:rPr>
          <w:rFonts w:hint="eastAsia" w:ascii="宋体" w:hAnsi="宋体" w:cs="宋体"/>
          <w:b/>
          <w:sz w:val="28"/>
          <w:szCs w:val="28"/>
          <w:lang w:val="zh-CN"/>
        </w:rPr>
      </w:pPr>
    </w:p>
    <w:p w14:paraId="60BFD8F8">
      <w:pPr>
        <w:tabs>
          <w:tab w:val="left" w:pos="774"/>
        </w:tabs>
        <w:autoSpaceDE w:val="0"/>
        <w:autoSpaceDN w:val="0"/>
        <w:spacing w:before="240" w:line="276" w:lineRule="auto"/>
        <w:ind w:left="774" w:hanging="576"/>
        <w:jc w:val="center"/>
        <w:outlineLvl w:val="2"/>
        <w:rPr>
          <w:rFonts w:hint="eastAsia" w:ascii="宋体" w:hAnsi="宋体" w:cs="宋体"/>
          <w:b/>
          <w:sz w:val="28"/>
          <w:szCs w:val="28"/>
          <w:lang w:val="zh-CN"/>
        </w:rPr>
      </w:pPr>
    </w:p>
    <w:p w14:paraId="30940B0B">
      <w:pPr>
        <w:tabs>
          <w:tab w:val="left" w:pos="774"/>
        </w:tabs>
        <w:autoSpaceDE w:val="0"/>
        <w:autoSpaceDN w:val="0"/>
        <w:spacing w:before="240" w:line="276" w:lineRule="auto"/>
        <w:ind w:left="774" w:hanging="576"/>
        <w:jc w:val="center"/>
        <w:outlineLvl w:val="2"/>
        <w:rPr>
          <w:rFonts w:hint="eastAsia" w:ascii="宋体" w:hAnsi="宋体" w:cs="宋体"/>
          <w:b/>
          <w:sz w:val="28"/>
          <w:szCs w:val="28"/>
          <w:lang w:val="zh-CN"/>
        </w:rPr>
      </w:pPr>
      <w:r>
        <w:rPr>
          <w:rFonts w:hint="eastAsia" w:ascii="宋体" w:hAnsi="宋体" w:cs="宋体"/>
          <w:b/>
          <w:sz w:val="28"/>
          <w:szCs w:val="28"/>
          <w:lang w:val="zh-CN"/>
        </w:rPr>
        <w:t>报价一览表</w:t>
      </w:r>
      <w:bookmarkEnd w:id="2"/>
      <w:bookmarkEnd w:id="3"/>
    </w:p>
    <w:p w14:paraId="0FE8D5AA">
      <w:pPr>
        <w:spacing w:line="360" w:lineRule="auto"/>
        <w:rPr>
          <w:rFonts w:hint="eastAsia" w:ascii="宋体" w:hAnsi="宋体" w:cs="宋体"/>
          <w:sz w:val="22"/>
          <w:szCs w:val="18"/>
        </w:rPr>
      </w:pPr>
      <w:r>
        <w:rPr>
          <w:rFonts w:hint="eastAsia" w:ascii="宋体" w:hAnsi="宋体" w:cs="宋体"/>
          <w:sz w:val="24"/>
        </w:rPr>
        <w:t>项目名称：</w:t>
      </w:r>
      <w:r>
        <w:rPr>
          <w:rFonts w:hint="eastAsia" w:ascii="宋体" w:hAnsi="宋体" w:cs="宋体"/>
          <w:sz w:val="24"/>
          <w:lang w:eastAsia="zh-Hans"/>
        </w:rPr>
        <w:t>温州市中医院</w:t>
      </w:r>
      <w:r>
        <w:rPr>
          <w:rFonts w:hint="eastAsia" w:ascii="宋体" w:hAnsi="宋体" w:eastAsia="宋体" w:cs="宋体"/>
          <w:sz w:val="24"/>
          <w:lang w:val="en-US" w:eastAsia="zh-CN"/>
        </w:rPr>
        <w:t>医保智能审核AI辅助系统</w:t>
      </w:r>
      <w:r>
        <w:rPr>
          <w:rFonts w:hint="eastAsia" w:ascii="宋体" w:hAnsi="宋体" w:eastAsia="宋体" w:cs="宋体"/>
          <w:sz w:val="24"/>
          <w:lang w:eastAsia="zh-Hans"/>
        </w:rPr>
        <w:t xml:space="preserve">    </w:t>
      </w:r>
      <w:r>
        <w:rPr>
          <w:rFonts w:hint="eastAsia" w:ascii="宋体" w:hAnsi="宋体" w:cs="宋体"/>
          <w:sz w:val="22"/>
          <w:szCs w:val="18"/>
        </w:rPr>
        <w:t xml:space="preserve">                           </w:t>
      </w:r>
    </w:p>
    <w:tbl>
      <w:tblPr>
        <w:tblStyle w:val="29"/>
        <w:tblW w:w="9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3540"/>
        <w:gridCol w:w="3105"/>
        <w:gridCol w:w="1323"/>
      </w:tblGrid>
      <w:tr w14:paraId="3A163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535" w:type="dxa"/>
            <w:vAlign w:val="center"/>
          </w:tcPr>
          <w:p w14:paraId="29F84BD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2"/>
                <w:szCs w:val="20"/>
              </w:rPr>
              <w:t>序号</w:t>
            </w:r>
          </w:p>
        </w:tc>
        <w:tc>
          <w:tcPr>
            <w:tcW w:w="3540" w:type="dxa"/>
            <w:vAlign w:val="center"/>
          </w:tcPr>
          <w:p w14:paraId="1ABB86A6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</w:rPr>
              <w:t>项目名称</w:t>
            </w:r>
          </w:p>
        </w:tc>
        <w:tc>
          <w:tcPr>
            <w:tcW w:w="3105" w:type="dxa"/>
            <w:vAlign w:val="center"/>
          </w:tcPr>
          <w:p w14:paraId="6358CD27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</w:rPr>
              <w:t>报价（人民币元）</w:t>
            </w:r>
          </w:p>
        </w:tc>
        <w:tc>
          <w:tcPr>
            <w:tcW w:w="1323" w:type="dxa"/>
            <w:vAlign w:val="center"/>
          </w:tcPr>
          <w:p w14:paraId="7F86C6F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2"/>
                <w:szCs w:val="20"/>
              </w:rPr>
              <w:t>备注</w:t>
            </w:r>
          </w:p>
        </w:tc>
      </w:tr>
      <w:tr w14:paraId="02F02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1535" w:type="dxa"/>
            <w:vMerge w:val="restart"/>
            <w:vAlign w:val="center"/>
          </w:tcPr>
          <w:p w14:paraId="086EEA0B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2"/>
                <w:szCs w:val="20"/>
              </w:rPr>
              <w:t>1</w:t>
            </w:r>
          </w:p>
        </w:tc>
        <w:tc>
          <w:tcPr>
            <w:tcW w:w="3540" w:type="dxa"/>
            <w:vMerge w:val="restart"/>
            <w:vAlign w:val="center"/>
          </w:tcPr>
          <w:p w14:paraId="1025B818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4"/>
                <w:szCs w:val="20"/>
                <w:lang w:eastAsia="zh-Hans"/>
              </w:rPr>
              <w:t>温州市中医院</w:t>
            </w: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医保智能审核AI辅助系统</w:t>
            </w:r>
            <w:r>
              <w:rPr>
                <w:rFonts w:hint="eastAsia" w:ascii="宋体" w:hAnsi="宋体" w:eastAsia="宋体" w:cs="宋体"/>
                <w:sz w:val="24"/>
                <w:szCs w:val="20"/>
                <w:lang w:eastAsia="zh-Hans"/>
              </w:rPr>
              <w:t xml:space="preserve"> </w:t>
            </w:r>
          </w:p>
        </w:tc>
        <w:tc>
          <w:tcPr>
            <w:tcW w:w="3105" w:type="dxa"/>
            <w:vAlign w:val="center"/>
          </w:tcPr>
          <w:p w14:paraId="6806B939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2"/>
                <w:szCs w:val="20"/>
              </w:rPr>
              <w:t>大写：</w:t>
            </w:r>
          </w:p>
        </w:tc>
        <w:tc>
          <w:tcPr>
            <w:tcW w:w="1323" w:type="dxa"/>
            <w:vMerge w:val="restart"/>
            <w:vAlign w:val="center"/>
          </w:tcPr>
          <w:p w14:paraId="55A12CA4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</w:p>
        </w:tc>
      </w:tr>
      <w:tr w14:paraId="55FD2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1535" w:type="dxa"/>
            <w:vMerge w:val="continue"/>
            <w:vAlign w:val="center"/>
          </w:tcPr>
          <w:p w14:paraId="10E43928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</w:p>
        </w:tc>
        <w:tc>
          <w:tcPr>
            <w:tcW w:w="3540" w:type="dxa"/>
            <w:vMerge w:val="continue"/>
            <w:vAlign w:val="center"/>
          </w:tcPr>
          <w:p w14:paraId="786140A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</w:p>
        </w:tc>
        <w:tc>
          <w:tcPr>
            <w:tcW w:w="3105" w:type="dxa"/>
            <w:vAlign w:val="center"/>
          </w:tcPr>
          <w:p w14:paraId="31D3743C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rPr>
                <w:rFonts w:hint="eastAsia" w:ascii="宋体" w:hAnsi="宋体" w:cs="宋体"/>
                <w:sz w:val="22"/>
                <w:szCs w:val="20"/>
              </w:rPr>
            </w:pPr>
            <w:r>
              <w:rPr>
                <w:rFonts w:hint="eastAsia" w:ascii="宋体" w:hAnsi="宋体" w:cs="宋体"/>
                <w:sz w:val="22"/>
                <w:szCs w:val="20"/>
              </w:rPr>
              <w:t>小写：</w:t>
            </w:r>
          </w:p>
        </w:tc>
        <w:tc>
          <w:tcPr>
            <w:tcW w:w="1323" w:type="dxa"/>
            <w:vMerge w:val="continue"/>
            <w:vAlign w:val="center"/>
          </w:tcPr>
          <w:p w14:paraId="3E914364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宋体"/>
                <w:sz w:val="22"/>
                <w:szCs w:val="20"/>
              </w:rPr>
            </w:pPr>
          </w:p>
        </w:tc>
      </w:tr>
    </w:tbl>
    <w:p w14:paraId="21E573FA">
      <w:pPr>
        <w:spacing w:line="450" w:lineRule="exact"/>
        <w:ind w:firstLine="541" w:firstLineChars="245"/>
        <w:rPr>
          <w:rFonts w:hint="eastAsia" w:ascii="宋体" w:hAnsi="宋体" w:cs="宋体"/>
          <w:b/>
          <w:sz w:val="22"/>
        </w:rPr>
      </w:pPr>
    </w:p>
    <w:p w14:paraId="674A9A36">
      <w:pPr>
        <w:rPr>
          <w:rFonts w:hint="eastAsia" w:ascii="宋体" w:hAnsi="宋体" w:cs="宋体"/>
          <w:b/>
          <w:sz w:val="22"/>
        </w:rPr>
      </w:pPr>
      <w:r>
        <w:rPr>
          <w:rFonts w:hint="eastAsia" w:ascii="宋体" w:hAnsi="宋体" w:cs="宋体"/>
          <w:b/>
          <w:sz w:val="22"/>
        </w:rPr>
        <w:t>说明：</w:t>
      </w:r>
    </w:p>
    <w:p w14:paraId="2F09B4E8">
      <w:pPr>
        <w:spacing w:line="240" w:lineRule="auto"/>
        <w:ind w:firstLine="442" w:firstLineChars="200"/>
        <w:rPr>
          <w:rFonts w:hint="eastAsia" w:ascii="宋体" w:hAnsi="宋体" w:cs="宋体"/>
          <w:b/>
          <w:sz w:val="22"/>
        </w:rPr>
      </w:pPr>
      <w:r>
        <w:rPr>
          <w:rFonts w:hint="eastAsia" w:ascii="宋体" w:hAnsi="宋体" w:cs="宋体"/>
          <w:b/>
          <w:sz w:val="22"/>
        </w:rPr>
        <w:t>1、本项目报价为含税人民币总价（含增值税，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须开具增值税专用发票），包含服务期内一切设备、材料、软硬件、人工、接口对接、税费及潜在费用"。</w:t>
      </w:r>
    </w:p>
    <w:p w14:paraId="6C8DEC27">
      <w:pPr>
        <w:ind w:firstLine="442" w:firstLineChars="200"/>
        <w:rPr>
          <w:rFonts w:hint="eastAsia" w:ascii="宋体" w:hAnsi="宋体" w:cs="宋体"/>
          <w:b/>
          <w:sz w:val="22"/>
        </w:rPr>
      </w:pPr>
      <w:r>
        <w:rPr>
          <w:rFonts w:hint="eastAsia" w:ascii="宋体" w:hAnsi="宋体" w:cs="宋体"/>
          <w:b/>
          <w:sz w:val="22"/>
        </w:rPr>
        <w:t>2、投标总价应包括本项目整个服务期所需的一切设备、材料、软硬件、人工、工具、设备、保险、交通、利润、税金（包含须由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承担的各种税费）</w:t>
      </w:r>
      <w:r>
        <w:rPr>
          <w:rFonts w:hint="eastAsia" w:ascii="宋体" w:hAnsi="宋体" w:cs="宋体"/>
          <w:b/>
          <w:sz w:val="22"/>
          <w:lang w:eastAsia="zh-CN"/>
        </w:rPr>
        <w:t>、</w:t>
      </w:r>
      <w:r>
        <w:rPr>
          <w:rFonts w:hint="eastAsia" w:ascii="宋体" w:hAnsi="宋体" w:cs="宋体"/>
          <w:b/>
          <w:sz w:val="22"/>
          <w:lang w:val="en-US" w:eastAsia="zh-CN"/>
        </w:rPr>
        <w:t>与第三方端口的连接</w:t>
      </w:r>
      <w:r>
        <w:rPr>
          <w:rFonts w:hint="eastAsia" w:ascii="宋体" w:hAnsi="宋体" w:cs="宋体"/>
          <w:b/>
          <w:sz w:val="22"/>
        </w:rPr>
        <w:t>、其它需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承担的费用及潜在可能涉及的一切费用。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应认真计算可能发生的各相关费用并计入投标报价内，在项目实施过程中不得藉此要求增加任何费用。如上述没有提及但该项目仍需要的内容，请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自行考虑一并计入投标报价中（未计入的，视为</w:t>
      </w:r>
      <w:r>
        <w:rPr>
          <w:rFonts w:hint="eastAsia" w:ascii="宋体" w:hAnsi="宋体" w:cs="宋体"/>
          <w:b/>
          <w:sz w:val="22"/>
          <w:lang w:eastAsia="zh-CN"/>
        </w:rPr>
        <w:t>参选人</w:t>
      </w:r>
      <w:r>
        <w:rPr>
          <w:rFonts w:hint="eastAsia" w:ascii="宋体" w:hAnsi="宋体" w:cs="宋体"/>
          <w:b/>
          <w:sz w:val="22"/>
        </w:rPr>
        <w:t>的优惠）</w:t>
      </w:r>
    </w:p>
    <w:p w14:paraId="6D6D856C">
      <w:pPr>
        <w:ind w:firstLine="442" w:firstLineChars="200"/>
        <w:rPr>
          <w:rFonts w:hint="eastAsia" w:ascii="宋体" w:hAnsi="宋体" w:cs="宋体"/>
          <w:b/>
          <w:sz w:val="22"/>
        </w:rPr>
      </w:pPr>
      <w:r>
        <w:rPr>
          <w:rFonts w:hint="eastAsia" w:ascii="宋体" w:hAnsi="宋体" w:cs="宋体"/>
          <w:b/>
          <w:sz w:val="22"/>
        </w:rPr>
        <w:t>3、不提供此表格将被视为没有实质性响应文件。</w:t>
      </w:r>
    </w:p>
    <w:p w14:paraId="07D5F7B4">
      <w:pPr>
        <w:ind w:firstLine="442" w:firstLineChars="200"/>
      </w:pPr>
      <w:r>
        <w:rPr>
          <w:rFonts w:hint="eastAsia" w:ascii="宋体" w:hAnsi="宋体" w:cs="宋体"/>
          <w:b/>
          <w:sz w:val="22"/>
        </w:rPr>
        <w:t>4、报价超过预算金额按无效标处理。</w:t>
      </w:r>
    </w:p>
    <w:p w14:paraId="133D2E4E">
      <w:pPr>
        <w:spacing w:line="460" w:lineRule="exact"/>
        <w:ind w:firstLine="4400" w:firstLineChars="2000"/>
        <w:rPr>
          <w:rFonts w:hint="eastAsia"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 xml:space="preserve">       </w:t>
      </w:r>
    </w:p>
    <w:p w14:paraId="2ABC8B10">
      <w:pPr>
        <w:rPr>
          <w:rFonts w:hint="eastAsia" w:ascii="宋体" w:hAnsi="宋体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08" w:footer="708" w:gutter="0"/>
      <w:pgNumType w:start="1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52070280"/>
      <w:docPartObj>
        <w:docPartGallery w:val="autotext"/>
      </w:docPartObj>
    </w:sdtPr>
    <w:sdtContent>
      <w:p w14:paraId="4637CE8F">
        <w:pPr>
          <w:pStyle w:val="2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B1B93">
    <w:pPr>
      <w:pStyle w:val="2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A502F6"/>
    <w:multiLevelType w:val="multilevel"/>
    <w:tmpl w:val="20A502F6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160"/>
  <w:drawingGridHorizontalSpacing w:val="10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BlMTkyMjgwMGQzZWFhNjA2Yjg2YWI0NTM5ODdkMWYifQ=="/>
  </w:docVars>
  <w:rsids>
    <w:rsidRoot w:val="00004073"/>
    <w:rsid w:val="000029BF"/>
    <w:rsid w:val="00004073"/>
    <w:rsid w:val="0000704F"/>
    <w:rsid w:val="00013253"/>
    <w:rsid w:val="00014E7C"/>
    <w:rsid w:val="00017644"/>
    <w:rsid w:val="00023038"/>
    <w:rsid w:val="0002405E"/>
    <w:rsid w:val="0003103D"/>
    <w:rsid w:val="000323EC"/>
    <w:rsid w:val="00032454"/>
    <w:rsid w:val="000378DB"/>
    <w:rsid w:val="00040A9C"/>
    <w:rsid w:val="00041CF9"/>
    <w:rsid w:val="000420FA"/>
    <w:rsid w:val="000426CE"/>
    <w:rsid w:val="00042703"/>
    <w:rsid w:val="00044262"/>
    <w:rsid w:val="000462DD"/>
    <w:rsid w:val="00046DC4"/>
    <w:rsid w:val="00047106"/>
    <w:rsid w:val="00051BD4"/>
    <w:rsid w:val="0005367D"/>
    <w:rsid w:val="0005369E"/>
    <w:rsid w:val="000546F5"/>
    <w:rsid w:val="000579DE"/>
    <w:rsid w:val="000600D2"/>
    <w:rsid w:val="00060CE9"/>
    <w:rsid w:val="00060D65"/>
    <w:rsid w:val="000630C6"/>
    <w:rsid w:val="00070955"/>
    <w:rsid w:val="000744F4"/>
    <w:rsid w:val="000754EA"/>
    <w:rsid w:val="0007654C"/>
    <w:rsid w:val="0008339A"/>
    <w:rsid w:val="00085704"/>
    <w:rsid w:val="000861A1"/>
    <w:rsid w:val="00090AD7"/>
    <w:rsid w:val="000951F9"/>
    <w:rsid w:val="00096757"/>
    <w:rsid w:val="000A016A"/>
    <w:rsid w:val="000B2B7D"/>
    <w:rsid w:val="000B6B44"/>
    <w:rsid w:val="000B720A"/>
    <w:rsid w:val="000C6577"/>
    <w:rsid w:val="000C798F"/>
    <w:rsid w:val="000D23BF"/>
    <w:rsid w:val="000D3B6C"/>
    <w:rsid w:val="000D6682"/>
    <w:rsid w:val="000E04B4"/>
    <w:rsid w:val="000E2D99"/>
    <w:rsid w:val="000F1BF0"/>
    <w:rsid w:val="000F2BEA"/>
    <w:rsid w:val="000F2C4C"/>
    <w:rsid w:val="000F4222"/>
    <w:rsid w:val="000F543D"/>
    <w:rsid w:val="000F7199"/>
    <w:rsid w:val="001024BD"/>
    <w:rsid w:val="001052B6"/>
    <w:rsid w:val="00105A82"/>
    <w:rsid w:val="0011183B"/>
    <w:rsid w:val="00113A11"/>
    <w:rsid w:val="00114DCD"/>
    <w:rsid w:val="0011517A"/>
    <w:rsid w:val="001174E8"/>
    <w:rsid w:val="00121041"/>
    <w:rsid w:val="00122311"/>
    <w:rsid w:val="00124093"/>
    <w:rsid w:val="001244C2"/>
    <w:rsid w:val="00124D1A"/>
    <w:rsid w:val="001347CF"/>
    <w:rsid w:val="001379F2"/>
    <w:rsid w:val="00141A6C"/>
    <w:rsid w:val="00142EB9"/>
    <w:rsid w:val="001447B4"/>
    <w:rsid w:val="001467CB"/>
    <w:rsid w:val="00146C85"/>
    <w:rsid w:val="00146F56"/>
    <w:rsid w:val="0015288E"/>
    <w:rsid w:val="00157CF5"/>
    <w:rsid w:val="00160029"/>
    <w:rsid w:val="00160292"/>
    <w:rsid w:val="00160A18"/>
    <w:rsid w:val="00177D83"/>
    <w:rsid w:val="001805EF"/>
    <w:rsid w:val="001823A4"/>
    <w:rsid w:val="00193BBC"/>
    <w:rsid w:val="00194194"/>
    <w:rsid w:val="00197DB5"/>
    <w:rsid w:val="001A079E"/>
    <w:rsid w:val="001A3099"/>
    <w:rsid w:val="001B1910"/>
    <w:rsid w:val="001B7D6C"/>
    <w:rsid w:val="001C0065"/>
    <w:rsid w:val="001C081F"/>
    <w:rsid w:val="001C0D8C"/>
    <w:rsid w:val="001D1FF6"/>
    <w:rsid w:val="001D52A1"/>
    <w:rsid w:val="001D54AF"/>
    <w:rsid w:val="001E0141"/>
    <w:rsid w:val="001F020A"/>
    <w:rsid w:val="001F057B"/>
    <w:rsid w:val="001F7A8E"/>
    <w:rsid w:val="002017A3"/>
    <w:rsid w:val="00203383"/>
    <w:rsid w:val="00205F9D"/>
    <w:rsid w:val="00206AEC"/>
    <w:rsid w:val="00210149"/>
    <w:rsid w:val="002103D4"/>
    <w:rsid w:val="00215227"/>
    <w:rsid w:val="00215D44"/>
    <w:rsid w:val="0021776A"/>
    <w:rsid w:val="00221EFD"/>
    <w:rsid w:val="00227BF3"/>
    <w:rsid w:val="00227EB4"/>
    <w:rsid w:val="00230E9F"/>
    <w:rsid w:val="00232857"/>
    <w:rsid w:val="002328EF"/>
    <w:rsid w:val="00242979"/>
    <w:rsid w:val="00254CD8"/>
    <w:rsid w:val="002616C5"/>
    <w:rsid w:val="002620F5"/>
    <w:rsid w:val="00263254"/>
    <w:rsid w:val="00265A75"/>
    <w:rsid w:val="0027142B"/>
    <w:rsid w:val="00271FD1"/>
    <w:rsid w:val="00277977"/>
    <w:rsid w:val="002816E2"/>
    <w:rsid w:val="002833C4"/>
    <w:rsid w:val="0028733C"/>
    <w:rsid w:val="0029140C"/>
    <w:rsid w:val="00292726"/>
    <w:rsid w:val="002950AC"/>
    <w:rsid w:val="0029630C"/>
    <w:rsid w:val="002A17FC"/>
    <w:rsid w:val="002A2A8E"/>
    <w:rsid w:val="002B011A"/>
    <w:rsid w:val="002B0EC8"/>
    <w:rsid w:val="002C1F5C"/>
    <w:rsid w:val="002C2C81"/>
    <w:rsid w:val="002C6A4F"/>
    <w:rsid w:val="002C7A8D"/>
    <w:rsid w:val="002D1099"/>
    <w:rsid w:val="002E0A5D"/>
    <w:rsid w:val="002E2674"/>
    <w:rsid w:val="002E31F9"/>
    <w:rsid w:val="002E46F5"/>
    <w:rsid w:val="002E5A06"/>
    <w:rsid w:val="002F2B3B"/>
    <w:rsid w:val="002F31EA"/>
    <w:rsid w:val="002F35E1"/>
    <w:rsid w:val="002F544E"/>
    <w:rsid w:val="0030335A"/>
    <w:rsid w:val="00312219"/>
    <w:rsid w:val="00313B4B"/>
    <w:rsid w:val="0031522B"/>
    <w:rsid w:val="00316ED5"/>
    <w:rsid w:val="003221BD"/>
    <w:rsid w:val="003264FF"/>
    <w:rsid w:val="0032709C"/>
    <w:rsid w:val="00333ABD"/>
    <w:rsid w:val="003340C0"/>
    <w:rsid w:val="00341B80"/>
    <w:rsid w:val="00342B7D"/>
    <w:rsid w:val="003445B6"/>
    <w:rsid w:val="00344AB9"/>
    <w:rsid w:val="00344FAD"/>
    <w:rsid w:val="0034504F"/>
    <w:rsid w:val="00357753"/>
    <w:rsid w:val="00360601"/>
    <w:rsid w:val="00362D08"/>
    <w:rsid w:val="00362F5A"/>
    <w:rsid w:val="00363662"/>
    <w:rsid w:val="003677E6"/>
    <w:rsid w:val="00370108"/>
    <w:rsid w:val="00382EC2"/>
    <w:rsid w:val="00384831"/>
    <w:rsid w:val="00391421"/>
    <w:rsid w:val="00392ACA"/>
    <w:rsid w:val="00395A81"/>
    <w:rsid w:val="003A40F1"/>
    <w:rsid w:val="003A6129"/>
    <w:rsid w:val="003A7357"/>
    <w:rsid w:val="003B187F"/>
    <w:rsid w:val="003B2CD7"/>
    <w:rsid w:val="003B4672"/>
    <w:rsid w:val="003B658B"/>
    <w:rsid w:val="003C154F"/>
    <w:rsid w:val="003C2487"/>
    <w:rsid w:val="003C2B58"/>
    <w:rsid w:val="003C2F69"/>
    <w:rsid w:val="003C6275"/>
    <w:rsid w:val="003D3342"/>
    <w:rsid w:val="003D7C61"/>
    <w:rsid w:val="003E2F14"/>
    <w:rsid w:val="003F2209"/>
    <w:rsid w:val="003F62EA"/>
    <w:rsid w:val="003F6633"/>
    <w:rsid w:val="003F6896"/>
    <w:rsid w:val="00400BCE"/>
    <w:rsid w:val="00401B03"/>
    <w:rsid w:val="00407545"/>
    <w:rsid w:val="00417EC3"/>
    <w:rsid w:val="00420E95"/>
    <w:rsid w:val="0042151D"/>
    <w:rsid w:val="00422A0B"/>
    <w:rsid w:val="00422AED"/>
    <w:rsid w:val="00423508"/>
    <w:rsid w:val="0043387C"/>
    <w:rsid w:val="00436671"/>
    <w:rsid w:val="0043791A"/>
    <w:rsid w:val="00437A9B"/>
    <w:rsid w:val="00440014"/>
    <w:rsid w:val="0044017C"/>
    <w:rsid w:val="00440CC3"/>
    <w:rsid w:val="00447849"/>
    <w:rsid w:val="004514AA"/>
    <w:rsid w:val="004602DB"/>
    <w:rsid w:val="00460EDD"/>
    <w:rsid w:val="00462FDD"/>
    <w:rsid w:val="00464FCA"/>
    <w:rsid w:val="004663C9"/>
    <w:rsid w:val="004719BB"/>
    <w:rsid w:val="0047484B"/>
    <w:rsid w:val="00482A87"/>
    <w:rsid w:val="004852B5"/>
    <w:rsid w:val="0048757D"/>
    <w:rsid w:val="00487A9A"/>
    <w:rsid w:val="00496D54"/>
    <w:rsid w:val="004A1E41"/>
    <w:rsid w:val="004A28B7"/>
    <w:rsid w:val="004A4ABD"/>
    <w:rsid w:val="004A5D1E"/>
    <w:rsid w:val="004A6541"/>
    <w:rsid w:val="004A6C92"/>
    <w:rsid w:val="004B063B"/>
    <w:rsid w:val="004B3D2C"/>
    <w:rsid w:val="004B4839"/>
    <w:rsid w:val="004C142D"/>
    <w:rsid w:val="004C257A"/>
    <w:rsid w:val="004C25E1"/>
    <w:rsid w:val="004C67F9"/>
    <w:rsid w:val="004D2274"/>
    <w:rsid w:val="004D2FEE"/>
    <w:rsid w:val="004D3105"/>
    <w:rsid w:val="004D6C79"/>
    <w:rsid w:val="004E0EB6"/>
    <w:rsid w:val="004E4289"/>
    <w:rsid w:val="004E5C9E"/>
    <w:rsid w:val="004F3854"/>
    <w:rsid w:val="004F46C0"/>
    <w:rsid w:val="004F48BC"/>
    <w:rsid w:val="00500398"/>
    <w:rsid w:val="00501F38"/>
    <w:rsid w:val="005065AF"/>
    <w:rsid w:val="00507D7F"/>
    <w:rsid w:val="00514CB3"/>
    <w:rsid w:val="0051558E"/>
    <w:rsid w:val="00516E52"/>
    <w:rsid w:val="005203FE"/>
    <w:rsid w:val="00522745"/>
    <w:rsid w:val="00522767"/>
    <w:rsid w:val="00523443"/>
    <w:rsid w:val="00526CE0"/>
    <w:rsid w:val="005371EF"/>
    <w:rsid w:val="00541E9C"/>
    <w:rsid w:val="00542B54"/>
    <w:rsid w:val="0054340A"/>
    <w:rsid w:val="0054641E"/>
    <w:rsid w:val="00547352"/>
    <w:rsid w:val="005478B6"/>
    <w:rsid w:val="005521C6"/>
    <w:rsid w:val="00555629"/>
    <w:rsid w:val="0055594D"/>
    <w:rsid w:val="00555D2C"/>
    <w:rsid w:val="00556694"/>
    <w:rsid w:val="00556F40"/>
    <w:rsid w:val="00561C3C"/>
    <w:rsid w:val="00571CC1"/>
    <w:rsid w:val="00573CAD"/>
    <w:rsid w:val="005769BB"/>
    <w:rsid w:val="00581C8E"/>
    <w:rsid w:val="005836E5"/>
    <w:rsid w:val="0058419F"/>
    <w:rsid w:val="00592FE7"/>
    <w:rsid w:val="0059557B"/>
    <w:rsid w:val="005A20E1"/>
    <w:rsid w:val="005A3D95"/>
    <w:rsid w:val="005A5AD6"/>
    <w:rsid w:val="005A7C06"/>
    <w:rsid w:val="005B25F9"/>
    <w:rsid w:val="005B2631"/>
    <w:rsid w:val="005B2773"/>
    <w:rsid w:val="005B4B12"/>
    <w:rsid w:val="005B5E31"/>
    <w:rsid w:val="005B6FAD"/>
    <w:rsid w:val="005B712D"/>
    <w:rsid w:val="005B7AA6"/>
    <w:rsid w:val="005C4CF3"/>
    <w:rsid w:val="005D5201"/>
    <w:rsid w:val="005D615D"/>
    <w:rsid w:val="005E2D54"/>
    <w:rsid w:val="005E3174"/>
    <w:rsid w:val="005E77DE"/>
    <w:rsid w:val="00602259"/>
    <w:rsid w:val="00604030"/>
    <w:rsid w:val="006051AF"/>
    <w:rsid w:val="00612989"/>
    <w:rsid w:val="006130AB"/>
    <w:rsid w:val="00613A1E"/>
    <w:rsid w:val="00626DD1"/>
    <w:rsid w:val="006314BD"/>
    <w:rsid w:val="00631761"/>
    <w:rsid w:val="006328BF"/>
    <w:rsid w:val="00635555"/>
    <w:rsid w:val="006419EA"/>
    <w:rsid w:val="00641ECC"/>
    <w:rsid w:val="006502C7"/>
    <w:rsid w:val="00650609"/>
    <w:rsid w:val="00656D07"/>
    <w:rsid w:val="006649E9"/>
    <w:rsid w:val="00667BCB"/>
    <w:rsid w:val="00667D56"/>
    <w:rsid w:val="006701D0"/>
    <w:rsid w:val="00670DF3"/>
    <w:rsid w:val="0067506B"/>
    <w:rsid w:val="00676A34"/>
    <w:rsid w:val="006826A4"/>
    <w:rsid w:val="0068706D"/>
    <w:rsid w:val="00691125"/>
    <w:rsid w:val="00692A57"/>
    <w:rsid w:val="00692B60"/>
    <w:rsid w:val="006950E4"/>
    <w:rsid w:val="0069543C"/>
    <w:rsid w:val="00697508"/>
    <w:rsid w:val="00697AC2"/>
    <w:rsid w:val="006A2ADA"/>
    <w:rsid w:val="006A41FA"/>
    <w:rsid w:val="006B5374"/>
    <w:rsid w:val="006B6356"/>
    <w:rsid w:val="006C102F"/>
    <w:rsid w:val="006C1072"/>
    <w:rsid w:val="006C180E"/>
    <w:rsid w:val="006C26B7"/>
    <w:rsid w:val="006C3793"/>
    <w:rsid w:val="006C3ADA"/>
    <w:rsid w:val="006D7CCF"/>
    <w:rsid w:val="006E4F04"/>
    <w:rsid w:val="006E7BE6"/>
    <w:rsid w:val="006E7F7D"/>
    <w:rsid w:val="006F25B3"/>
    <w:rsid w:val="006F2CE3"/>
    <w:rsid w:val="006F472A"/>
    <w:rsid w:val="006F7DA2"/>
    <w:rsid w:val="006F7FDA"/>
    <w:rsid w:val="00700E14"/>
    <w:rsid w:val="00701EAC"/>
    <w:rsid w:val="00702DA8"/>
    <w:rsid w:val="00704032"/>
    <w:rsid w:val="00711BA1"/>
    <w:rsid w:val="0071237C"/>
    <w:rsid w:val="00712749"/>
    <w:rsid w:val="00720320"/>
    <w:rsid w:val="00720677"/>
    <w:rsid w:val="00721D03"/>
    <w:rsid w:val="00721FAD"/>
    <w:rsid w:val="00724B17"/>
    <w:rsid w:val="007255C7"/>
    <w:rsid w:val="00726A82"/>
    <w:rsid w:val="007319EC"/>
    <w:rsid w:val="007327E4"/>
    <w:rsid w:val="007408F9"/>
    <w:rsid w:val="00743BF5"/>
    <w:rsid w:val="00744BA8"/>
    <w:rsid w:val="00747B96"/>
    <w:rsid w:val="00747FA0"/>
    <w:rsid w:val="007502AA"/>
    <w:rsid w:val="00752828"/>
    <w:rsid w:val="0075299C"/>
    <w:rsid w:val="007567F0"/>
    <w:rsid w:val="00760297"/>
    <w:rsid w:val="00761F76"/>
    <w:rsid w:val="00762B67"/>
    <w:rsid w:val="00762D06"/>
    <w:rsid w:val="00773F5B"/>
    <w:rsid w:val="0077449B"/>
    <w:rsid w:val="00774DF0"/>
    <w:rsid w:val="00774E59"/>
    <w:rsid w:val="0077695E"/>
    <w:rsid w:val="00780694"/>
    <w:rsid w:val="007855BF"/>
    <w:rsid w:val="007867DA"/>
    <w:rsid w:val="0078752A"/>
    <w:rsid w:val="00790759"/>
    <w:rsid w:val="00794471"/>
    <w:rsid w:val="007B0757"/>
    <w:rsid w:val="007B6A43"/>
    <w:rsid w:val="007B6FDA"/>
    <w:rsid w:val="007B71A1"/>
    <w:rsid w:val="007C0E30"/>
    <w:rsid w:val="007C3DF1"/>
    <w:rsid w:val="007D01F5"/>
    <w:rsid w:val="007D070E"/>
    <w:rsid w:val="007D1FF6"/>
    <w:rsid w:val="007D31DF"/>
    <w:rsid w:val="007D346E"/>
    <w:rsid w:val="007D52B6"/>
    <w:rsid w:val="007E20B3"/>
    <w:rsid w:val="007E69FB"/>
    <w:rsid w:val="007E78AA"/>
    <w:rsid w:val="007F5AC2"/>
    <w:rsid w:val="00800F1D"/>
    <w:rsid w:val="00803BD8"/>
    <w:rsid w:val="00804135"/>
    <w:rsid w:val="00816715"/>
    <w:rsid w:val="00831EE7"/>
    <w:rsid w:val="00832676"/>
    <w:rsid w:val="00843631"/>
    <w:rsid w:val="00844A6C"/>
    <w:rsid w:val="008513E0"/>
    <w:rsid w:val="00853891"/>
    <w:rsid w:val="0085603D"/>
    <w:rsid w:val="0085651D"/>
    <w:rsid w:val="00856585"/>
    <w:rsid w:val="008625BA"/>
    <w:rsid w:val="00863674"/>
    <w:rsid w:val="00864EE6"/>
    <w:rsid w:val="00867F82"/>
    <w:rsid w:val="008719E4"/>
    <w:rsid w:val="00874AB5"/>
    <w:rsid w:val="00877CDC"/>
    <w:rsid w:val="00880DDE"/>
    <w:rsid w:val="00886543"/>
    <w:rsid w:val="00891419"/>
    <w:rsid w:val="008922C5"/>
    <w:rsid w:val="00894211"/>
    <w:rsid w:val="00894936"/>
    <w:rsid w:val="008A0501"/>
    <w:rsid w:val="008A1A0D"/>
    <w:rsid w:val="008A68DC"/>
    <w:rsid w:val="008A6D52"/>
    <w:rsid w:val="008B171F"/>
    <w:rsid w:val="008B2D5A"/>
    <w:rsid w:val="008B4832"/>
    <w:rsid w:val="008B6B89"/>
    <w:rsid w:val="008B743B"/>
    <w:rsid w:val="008C0127"/>
    <w:rsid w:val="008C19C3"/>
    <w:rsid w:val="008C2556"/>
    <w:rsid w:val="008C4C8B"/>
    <w:rsid w:val="008C75ED"/>
    <w:rsid w:val="008D1092"/>
    <w:rsid w:val="008D2D45"/>
    <w:rsid w:val="008D3BDC"/>
    <w:rsid w:val="008D5957"/>
    <w:rsid w:val="008D5DBA"/>
    <w:rsid w:val="008D6EF6"/>
    <w:rsid w:val="008E1B72"/>
    <w:rsid w:val="008E30BF"/>
    <w:rsid w:val="008E44F3"/>
    <w:rsid w:val="008F16DF"/>
    <w:rsid w:val="008F172E"/>
    <w:rsid w:val="008F2E44"/>
    <w:rsid w:val="008F65DF"/>
    <w:rsid w:val="0090698F"/>
    <w:rsid w:val="00910BA9"/>
    <w:rsid w:val="009129CA"/>
    <w:rsid w:val="0091466D"/>
    <w:rsid w:val="009173D5"/>
    <w:rsid w:val="00917E5E"/>
    <w:rsid w:val="009235B1"/>
    <w:rsid w:val="009246A1"/>
    <w:rsid w:val="009253B7"/>
    <w:rsid w:val="00925E05"/>
    <w:rsid w:val="00931977"/>
    <w:rsid w:val="00932A90"/>
    <w:rsid w:val="009335DB"/>
    <w:rsid w:val="00935AC9"/>
    <w:rsid w:val="009372E3"/>
    <w:rsid w:val="0094053E"/>
    <w:rsid w:val="00942E4C"/>
    <w:rsid w:val="00950803"/>
    <w:rsid w:val="0095158B"/>
    <w:rsid w:val="0095257F"/>
    <w:rsid w:val="00953078"/>
    <w:rsid w:val="00963AD9"/>
    <w:rsid w:val="00966683"/>
    <w:rsid w:val="00967150"/>
    <w:rsid w:val="009671B2"/>
    <w:rsid w:val="009713EB"/>
    <w:rsid w:val="00974E3B"/>
    <w:rsid w:val="009750A2"/>
    <w:rsid w:val="00975A34"/>
    <w:rsid w:val="009821D0"/>
    <w:rsid w:val="00982C03"/>
    <w:rsid w:val="009852F6"/>
    <w:rsid w:val="009865C7"/>
    <w:rsid w:val="00991EAC"/>
    <w:rsid w:val="0099400F"/>
    <w:rsid w:val="00995607"/>
    <w:rsid w:val="009A4A11"/>
    <w:rsid w:val="009A4F47"/>
    <w:rsid w:val="009A533A"/>
    <w:rsid w:val="009B1A4D"/>
    <w:rsid w:val="009B204D"/>
    <w:rsid w:val="009C1B66"/>
    <w:rsid w:val="009C4CD7"/>
    <w:rsid w:val="009D021A"/>
    <w:rsid w:val="009D04CB"/>
    <w:rsid w:val="009D3CEE"/>
    <w:rsid w:val="009D62CF"/>
    <w:rsid w:val="009D790A"/>
    <w:rsid w:val="009E322C"/>
    <w:rsid w:val="009F02B6"/>
    <w:rsid w:val="009F0AF0"/>
    <w:rsid w:val="009F151E"/>
    <w:rsid w:val="009F5877"/>
    <w:rsid w:val="009F5C5F"/>
    <w:rsid w:val="009F6367"/>
    <w:rsid w:val="00A00341"/>
    <w:rsid w:val="00A003DE"/>
    <w:rsid w:val="00A0075F"/>
    <w:rsid w:val="00A01951"/>
    <w:rsid w:val="00A01DA9"/>
    <w:rsid w:val="00A026CB"/>
    <w:rsid w:val="00A04270"/>
    <w:rsid w:val="00A042B5"/>
    <w:rsid w:val="00A04411"/>
    <w:rsid w:val="00A0718A"/>
    <w:rsid w:val="00A111CE"/>
    <w:rsid w:val="00A20F9F"/>
    <w:rsid w:val="00A30B76"/>
    <w:rsid w:val="00A31245"/>
    <w:rsid w:val="00A31F3C"/>
    <w:rsid w:val="00A325D9"/>
    <w:rsid w:val="00A354D7"/>
    <w:rsid w:val="00A4062E"/>
    <w:rsid w:val="00A41220"/>
    <w:rsid w:val="00A42E34"/>
    <w:rsid w:val="00A44AB5"/>
    <w:rsid w:val="00A47C37"/>
    <w:rsid w:val="00A525F3"/>
    <w:rsid w:val="00A53B90"/>
    <w:rsid w:val="00A5680D"/>
    <w:rsid w:val="00A57908"/>
    <w:rsid w:val="00A612AF"/>
    <w:rsid w:val="00A6385D"/>
    <w:rsid w:val="00A66FE7"/>
    <w:rsid w:val="00A703B4"/>
    <w:rsid w:val="00A7097E"/>
    <w:rsid w:val="00A770CA"/>
    <w:rsid w:val="00A80181"/>
    <w:rsid w:val="00A83975"/>
    <w:rsid w:val="00A84AAC"/>
    <w:rsid w:val="00A86490"/>
    <w:rsid w:val="00A9032A"/>
    <w:rsid w:val="00A90FE6"/>
    <w:rsid w:val="00A94E76"/>
    <w:rsid w:val="00A959CA"/>
    <w:rsid w:val="00A95B31"/>
    <w:rsid w:val="00A9757F"/>
    <w:rsid w:val="00AA2809"/>
    <w:rsid w:val="00AA2A92"/>
    <w:rsid w:val="00AA60FA"/>
    <w:rsid w:val="00AA6E74"/>
    <w:rsid w:val="00AA7CFD"/>
    <w:rsid w:val="00AB18AD"/>
    <w:rsid w:val="00AB2D55"/>
    <w:rsid w:val="00AB2ECB"/>
    <w:rsid w:val="00AB32F0"/>
    <w:rsid w:val="00AB4BEB"/>
    <w:rsid w:val="00AB73D8"/>
    <w:rsid w:val="00AC1FE9"/>
    <w:rsid w:val="00AC28AE"/>
    <w:rsid w:val="00AC6C09"/>
    <w:rsid w:val="00AD5555"/>
    <w:rsid w:val="00AD5CAD"/>
    <w:rsid w:val="00AD78FD"/>
    <w:rsid w:val="00AE084E"/>
    <w:rsid w:val="00AE3465"/>
    <w:rsid w:val="00AF1B7D"/>
    <w:rsid w:val="00AF36B2"/>
    <w:rsid w:val="00AF3DA4"/>
    <w:rsid w:val="00B01CA2"/>
    <w:rsid w:val="00B03AC3"/>
    <w:rsid w:val="00B03B1D"/>
    <w:rsid w:val="00B1067C"/>
    <w:rsid w:val="00B12717"/>
    <w:rsid w:val="00B13149"/>
    <w:rsid w:val="00B16B9A"/>
    <w:rsid w:val="00B2161F"/>
    <w:rsid w:val="00B21B42"/>
    <w:rsid w:val="00B25B96"/>
    <w:rsid w:val="00B25FB8"/>
    <w:rsid w:val="00B3362B"/>
    <w:rsid w:val="00B35C91"/>
    <w:rsid w:val="00B37909"/>
    <w:rsid w:val="00B4039A"/>
    <w:rsid w:val="00B4068A"/>
    <w:rsid w:val="00B446BE"/>
    <w:rsid w:val="00B45517"/>
    <w:rsid w:val="00B51026"/>
    <w:rsid w:val="00B55D27"/>
    <w:rsid w:val="00B56613"/>
    <w:rsid w:val="00B60404"/>
    <w:rsid w:val="00B72195"/>
    <w:rsid w:val="00B77C18"/>
    <w:rsid w:val="00B85BCF"/>
    <w:rsid w:val="00B87AAC"/>
    <w:rsid w:val="00B90E9D"/>
    <w:rsid w:val="00B950A9"/>
    <w:rsid w:val="00B97E0B"/>
    <w:rsid w:val="00BA15B5"/>
    <w:rsid w:val="00BA6424"/>
    <w:rsid w:val="00BB15CE"/>
    <w:rsid w:val="00BB1966"/>
    <w:rsid w:val="00BC174B"/>
    <w:rsid w:val="00BC48CB"/>
    <w:rsid w:val="00BD04BB"/>
    <w:rsid w:val="00BD0975"/>
    <w:rsid w:val="00BD316B"/>
    <w:rsid w:val="00BE066B"/>
    <w:rsid w:val="00BE0DED"/>
    <w:rsid w:val="00BE3294"/>
    <w:rsid w:val="00BE4435"/>
    <w:rsid w:val="00BE63E5"/>
    <w:rsid w:val="00BE776E"/>
    <w:rsid w:val="00BF12A8"/>
    <w:rsid w:val="00BF2C22"/>
    <w:rsid w:val="00BF48E1"/>
    <w:rsid w:val="00BF6B06"/>
    <w:rsid w:val="00BF7B21"/>
    <w:rsid w:val="00C02C54"/>
    <w:rsid w:val="00C03BEC"/>
    <w:rsid w:val="00C10045"/>
    <w:rsid w:val="00C10C89"/>
    <w:rsid w:val="00C16B75"/>
    <w:rsid w:val="00C17AE7"/>
    <w:rsid w:val="00C17FBF"/>
    <w:rsid w:val="00C2181B"/>
    <w:rsid w:val="00C23F7A"/>
    <w:rsid w:val="00C240EB"/>
    <w:rsid w:val="00C245E8"/>
    <w:rsid w:val="00C26F4C"/>
    <w:rsid w:val="00C27722"/>
    <w:rsid w:val="00C27F6B"/>
    <w:rsid w:val="00C305DD"/>
    <w:rsid w:val="00C31B9A"/>
    <w:rsid w:val="00C3207D"/>
    <w:rsid w:val="00C3312E"/>
    <w:rsid w:val="00C42A5D"/>
    <w:rsid w:val="00C42AE2"/>
    <w:rsid w:val="00C46A22"/>
    <w:rsid w:val="00C475AD"/>
    <w:rsid w:val="00C47E3C"/>
    <w:rsid w:val="00C51775"/>
    <w:rsid w:val="00C618A1"/>
    <w:rsid w:val="00C673F5"/>
    <w:rsid w:val="00C735D5"/>
    <w:rsid w:val="00C804DB"/>
    <w:rsid w:val="00C8591D"/>
    <w:rsid w:val="00C870C8"/>
    <w:rsid w:val="00C95F32"/>
    <w:rsid w:val="00C96219"/>
    <w:rsid w:val="00C970E3"/>
    <w:rsid w:val="00CA0F90"/>
    <w:rsid w:val="00CA756D"/>
    <w:rsid w:val="00CB583F"/>
    <w:rsid w:val="00CB7374"/>
    <w:rsid w:val="00CC0353"/>
    <w:rsid w:val="00CC2F94"/>
    <w:rsid w:val="00CC3C96"/>
    <w:rsid w:val="00CC6BB0"/>
    <w:rsid w:val="00CD1A01"/>
    <w:rsid w:val="00CD2C86"/>
    <w:rsid w:val="00CD3191"/>
    <w:rsid w:val="00CD5021"/>
    <w:rsid w:val="00CE1759"/>
    <w:rsid w:val="00CE4751"/>
    <w:rsid w:val="00CF2E6D"/>
    <w:rsid w:val="00CF4437"/>
    <w:rsid w:val="00CF504F"/>
    <w:rsid w:val="00CF6A39"/>
    <w:rsid w:val="00D01E02"/>
    <w:rsid w:val="00D109B3"/>
    <w:rsid w:val="00D10CD7"/>
    <w:rsid w:val="00D1305E"/>
    <w:rsid w:val="00D14047"/>
    <w:rsid w:val="00D1542C"/>
    <w:rsid w:val="00D2217F"/>
    <w:rsid w:val="00D2314F"/>
    <w:rsid w:val="00D35585"/>
    <w:rsid w:val="00D3580F"/>
    <w:rsid w:val="00D37DFA"/>
    <w:rsid w:val="00D42B3E"/>
    <w:rsid w:val="00D4450F"/>
    <w:rsid w:val="00D50322"/>
    <w:rsid w:val="00D53731"/>
    <w:rsid w:val="00D53FD6"/>
    <w:rsid w:val="00D54BC9"/>
    <w:rsid w:val="00D56435"/>
    <w:rsid w:val="00D565E3"/>
    <w:rsid w:val="00D5762D"/>
    <w:rsid w:val="00D652FF"/>
    <w:rsid w:val="00D655BC"/>
    <w:rsid w:val="00D662E3"/>
    <w:rsid w:val="00D66DEC"/>
    <w:rsid w:val="00D7324E"/>
    <w:rsid w:val="00D75C07"/>
    <w:rsid w:val="00D83E7F"/>
    <w:rsid w:val="00D86D54"/>
    <w:rsid w:val="00D911C9"/>
    <w:rsid w:val="00D9230D"/>
    <w:rsid w:val="00D95907"/>
    <w:rsid w:val="00D97175"/>
    <w:rsid w:val="00DA6E32"/>
    <w:rsid w:val="00DA74CB"/>
    <w:rsid w:val="00DC24A8"/>
    <w:rsid w:val="00DC30E5"/>
    <w:rsid w:val="00DC5211"/>
    <w:rsid w:val="00DC54F7"/>
    <w:rsid w:val="00DD09F1"/>
    <w:rsid w:val="00DD1FE6"/>
    <w:rsid w:val="00DD6F00"/>
    <w:rsid w:val="00DD7B2E"/>
    <w:rsid w:val="00DD7CF1"/>
    <w:rsid w:val="00DE309A"/>
    <w:rsid w:val="00DE64EF"/>
    <w:rsid w:val="00DE7C3D"/>
    <w:rsid w:val="00DE7CA9"/>
    <w:rsid w:val="00DF0C0A"/>
    <w:rsid w:val="00DF1D63"/>
    <w:rsid w:val="00DF664F"/>
    <w:rsid w:val="00E00A03"/>
    <w:rsid w:val="00E00ECC"/>
    <w:rsid w:val="00E0127C"/>
    <w:rsid w:val="00E02830"/>
    <w:rsid w:val="00E02DF2"/>
    <w:rsid w:val="00E03145"/>
    <w:rsid w:val="00E04C9E"/>
    <w:rsid w:val="00E04D40"/>
    <w:rsid w:val="00E1272C"/>
    <w:rsid w:val="00E12804"/>
    <w:rsid w:val="00E14AD9"/>
    <w:rsid w:val="00E24A13"/>
    <w:rsid w:val="00E250D0"/>
    <w:rsid w:val="00E25186"/>
    <w:rsid w:val="00E2797A"/>
    <w:rsid w:val="00E315CC"/>
    <w:rsid w:val="00E319F3"/>
    <w:rsid w:val="00E32C13"/>
    <w:rsid w:val="00E35FB6"/>
    <w:rsid w:val="00E36AC8"/>
    <w:rsid w:val="00E419A5"/>
    <w:rsid w:val="00E421FB"/>
    <w:rsid w:val="00E4395B"/>
    <w:rsid w:val="00E63335"/>
    <w:rsid w:val="00E653D8"/>
    <w:rsid w:val="00E65537"/>
    <w:rsid w:val="00E65E81"/>
    <w:rsid w:val="00E67F5E"/>
    <w:rsid w:val="00E72562"/>
    <w:rsid w:val="00E732DE"/>
    <w:rsid w:val="00E744E1"/>
    <w:rsid w:val="00E76838"/>
    <w:rsid w:val="00E85CBC"/>
    <w:rsid w:val="00E902D3"/>
    <w:rsid w:val="00EA202E"/>
    <w:rsid w:val="00EA5535"/>
    <w:rsid w:val="00EA63DA"/>
    <w:rsid w:val="00EB197D"/>
    <w:rsid w:val="00EB2177"/>
    <w:rsid w:val="00EB3E76"/>
    <w:rsid w:val="00EC0FAE"/>
    <w:rsid w:val="00EC193E"/>
    <w:rsid w:val="00EC1F20"/>
    <w:rsid w:val="00EC282B"/>
    <w:rsid w:val="00EC3967"/>
    <w:rsid w:val="00EC3CF0"/>
    <w:rsid w:val="00EC4CDD"/>
    <w:rsid w:val="00EC542E"/>
    <w:rsid w:val="00ED34BB"/>
    <w:rsid w:val="00EE32BF"/>
    <w:rsid w:val="00EE4CDF"/>
    <w:rsid w:val="00EE54B9"/>
    <w:rsid w:val="00EE585B"/>
    <w:rsid w:val="00EE7F6D"/>
    <w:rsid w:val="00EF527A"/>
    <w:rsid w:val="00F00E12"/>
    <w:rsid w:val="00F109FD"/>
    <w:rsid w:val="00F11C4A"/>
    <w:rsid w:val="00F12C5C"/>
    <w:rsid w:val="00F13FE3"/>
    <w:rsid w:val="00F154D9"/>
    <w:rsid w:val="00F178E4"/>
    <w:rsid w:val="00F218B5"/>
    <w:rsid w:val="00F25D1C"/>
    <w:rsid w:val="00F27AA8"/>
    <w:rsid w:val="00F302E9"/>
    <w:rsid w:val="00F3119B"/>
    <w:rsid w:val="00F40F96"/>
    <w:rsid w:val="00F47EED"/>
    <w:rsid w:val="00F54CCA"/>
    <w:rsid w:val="00F54DE8"/>
    <w:rsid w:val="00F56FF9"/>
    <w:rsid w:val="00F614CD"/>
    <w:rsid w:val="00F651B9"/>
    <w:rsid w:val="00F71612"/>
    <w:rsid w:val="00F72872"/>
    <w:rsid w:val="00F75DA0"/>
    <w:rsid w:val="00F760F6"/>
    <w:rsid w:val="00F77D82"/>
    <w:rsid w:val="00F81C94"/>
    <w:rsid w:val="00F8564A"/>
    <w:rsid w:val="00F915A2"/>
    <w:rsid w:val="00F972F8"/>
    <w:rsid w:val="00FA0A40"/>
    <w:rsid w:val="00FA0A9B"/>
    <w:rsid w:val="00FA0F19"/>
    <w:rsid w:val="00FA1456"/>
    <w:rsid w:val="00FA2738"/>
    <w:rsid w:val="00FA3259"/>
    <w:rsid w:val="00FA540A"/>
    <w:rsid w:val="00FA5D26"/>
    <w:rsid w:val="00FA68F1"/>
    <w:rsid w:val="00FA72C0"/>
    <w:rsid w:val="00FB1BED"/>
    <w:rsid w:val="00FB3D50"/>
    <w:rsid w:val="00FB3F63"/>
    <w:rsid w:val="00FB6025"/>
    <w:rsid w:val="00FB7A2B"/>
    <w:rsid w:val="00FC3DD3"/>
    <w:rsid w:val="00FC51B0"/>
    <w:rsid w:val="00FC5487"/>
    <w:rsid w:val="00FC6CDC"/>
    <w:rsid w:val="00FD030C"/>
    <w:rsid w:val="00FD3674"/>
    <w:rsid w:val="00FE31AB"/>
    <w:rsid w:val="00FE6F66"/>
    <w:rsid w:val="00FF0DE8"/>
    <w:rsid w:val="01EC72D6"/>
    <w:rsid w:val="02F33BAB"/>
    <w:rsid w:val="04247911"/>
    <w:rsid w:val="045F2D7E"/>
    <w:rsid w:val="051E25B2"/>
    <w:rsid w:val="08912907"/>
    <w:rsid w:val="096B15C1"/>
    <w:rsid w:val="09A60DC8"/>
    <w:rsid w:val="0A4800D1"/>
    <w:rsid w:val="0B902A1C"/>
    <w:rsid w:val="0CF32576"/>
    <w:rsid w:val="0E867352"/>
    <w:rsid w:val="111821CB"/>
    <w:rsid w:val="114562B0"/>
    <w:rsid w:val="11A007F3"/>
    <w:rsid w:val="11A42091"/>
    <w:rsid w:val="135E0D52"/>
    <w:rsid w:val="139A36CF"/>
    <w:rsid w:val="157D5C9F"/>
    <w:rsid w:val="160A7EBC"/>
    <w:rsid w:val="164717FA"/>
    <w:rsid w:val="16E01DBD"/>
    <w:rsid w:val="17D3608C"/>
    <w:rsid w:val="17EE3C33"/>
    <w:rsid w:val="195E16BF"/>
    <w:rsid w:val="1A2B2A7C"/>
    <w:rsid w:val="1A5D54D3"/>
    <w:rsid w:val="1AFC6A9A"/>
    <w:rsid w:val="1B703D7C"/>
    <w:rsid w:val="1C4B25BC"/>
    <w:rsid w:val="1C84143D"/>
    <w:rsid w:val="1D1D719C"/>
    <w:rsid w:val="1E930CEE"/>
    <w:rsid w:val="1F460C2C"/>
    <w:rsid w:val="203D0F15"/>
    <w:rsid w:val="21F63364"/>
    <w:rsid w:val="221E7C3E"/>
    <w:rsid w:val="22941CAE"/>
    <w:rsid w:val="23411534"/>
    <w:rsid w:val="2377306D"/>
    <w:rsid w:val="23CD510E"/>
    <w:rsid w:val="24466FD8"/>
    <w:rsid w:val="26395046"/>
    <w:rsid w:val="276F44D6"/>
    <w:rsid w:val="27871DE1"/>
    <w:rsid w:val="2AE45217"/>
    <w:rsid w:val="2C1C79CE"/>
    <w:rsid w:val="2E1819E5"/>
    <w:rsid w:val="2E5D20E2"/>
    <w:rsid w:val="30E561CC"/>
    <w:rsid w:val="310426F5"/>
    <w:rsid w:val="34F40206"/>
    <w:rsid w:val="3683080D"/>
    <w:rsid w:val="382D04D3"/>
    <w:rsid w:val="38AD050B"/>
    <w:rsid w:val="3902751A"/>
    <w:rsid w:val="396E4BAF"/>
    <w:rsid w:val="39F31088"/>
    <w:rsid w:val="3CE427CE"/>
    <w:rsid w:val="3CF03B2D"/>
    <w:rsid w:val="3E774506"/>
    <w:rsid w:val="3E9450B8"/>
    <w:rsid w:val="3FC217B1"/>
    <w:rsid w:val="405F34A4"/>
    <w:rsid w:val="409273D5"/>
    <w:rsid w:val="41C04416"/>
    <w:rsid w:val="4286740D"/>
    <w:rsid w:val="42AC04F6"/>
    <w:rsid w:val="42CB6BCE"/>
    <w:rsid w:val="43136275"/>
    <w:rsid w:val="435023FB"/>
    <w:rsid w:val="43D321DE"/>
    <w:rsid w:val="44615A3C"/>
    <w:rsid w:val="46017AC6"/>
    <w:rsid w:val="4682613E"/>
    <w:rsid w:val="46942740"/>
    <w:rsid w:val="472463A2"/>
    <w:rsid w:val="475950F1"/>
    <w:rsid w:val="48FF3984"/>
    <w:rsid w:val="49411305"/>
    <w:rsid w:val="4A272033"/>
    <w:rsid w:val="4A5B544C"/>
    <w:rsid w:val="4ABCDB96"/>
    <w:rsid w:val="4B3D2633"/>
    <w:rsid w:val="4BCD7168"/>
    <w:rsid w:val="4C0118B3"/>
    <w:rsid w:val="4CEA0C86"/>
    <w:rsid w:val="4DD20112"/>
    <w:rsid w:val="4E0F451C"/>
    <w:rsid w:val="4EEE596F"/>
    <w:rsid w:val="51B37C8A"/>
    <w:rsid w:val="51B827F6"/>
    <w:rsid w:val="51BA678C"/>
    <w:rsid w:val="533E7397"/>
    <w:rsid w:val="5437757A"/>
    <w:rsid w:val="54FF2D13"/>
    <w:rsid w:val="55E4210A"/>
    <w:rsid w:val="57C71C02"/>
    <w:rsid w:val="583F79EB"/>
    <w:rsid w:val="58C45952"/>
    <w:rsid w:val="59C12681"/>
    <w:rsid w:val="59E56370"/>
    <w:rsid w:val="5A731BCE"/>
    <w:rsid w:val="5BA86AA9"/>
    <w:rsid w:val="5D26049E"/>
    <w:rsid w:val="5F585C7A"/>
    <w:rsid w:val="60631B06"/>
    <w:rsid w:val="60D3786A"/>
    <w:rsid w:val="618B5A4F"/>
    <w:rsid w:val="63016CD4"/>
    <w:rsid w:val="63AA212A"/>
    <w:rsid w:val="64754794"/>
    <w:rsid w:val="65121FF8"/>
    <w:rsid w:val="66263F98"/>
    <w:rsid w:val="662B7800"/>
    <w:rsid w:val="663D12E2"/>
    <w:rsid w:val="66810F6F"/>
    <w:rsid w:val="670F2C7E"/>
    <w:rsid w:val="67340937"/>
    <w:rsid w:val="6901235E"/>
    <w:rsid w:val="69111585"/>
    <w:rsid w:val="69261CB9"/>
    <w:rsid w:val="6985191D"/>
    <w:rsid w:val="6AB54047"/>
    <w:rsid w:val="6BB01188"/>
    <w:rsid w:val="6F0F4163"/>
    <w:rsid w:val="6FF2313D"/>
    <w:rsid w:val="6FFD2BCB"/>
    <w:rsid w:val="702A0977"/>
    <w:rsid w:val="704C6CF1"/>
    <w:rsid w:val="70CB230C"/>
    <w:rsid w:val="71285068"/>
    <w:rsid w:val="716D636D"/>
    <w:rsid w:val="71902B32"/>
    <w:rsid w:val="725D1694"/>
    <w:rsid w:val="74597C2E"/>
    <w:rsid w:val="74956EB9"/>
    <w:rsid w:val="74D379E1"/>
    <w:rsid w:val="75BE243F"/>
    <w:rsid w:val="76662280"/>
    <w:rsid w:val="77242776"/>
    <w:rsid w:val="773646FD"/>
    <w:rsid w:val="77381D7D"/>
    <w:rsid w:val="787D213D"/>
    <w:rsid w:val="787E5EB6"/>
    <w:rsid w:val="789D27E0"/>
    <w:rsid w:val="78B35B5F"/>
    <w:rsid w:val="78E20A03"/>
    <w:rsid w:val="79865022"/>
    <w:rsid w:val="7BA701FD"/>
    <w:rsid w:val="7BAA0F9D"/>
    <w:rsid w:val="7C1A5EF5"/>
    <w:rsid w:val="7C6A1BCD"/>
    <w:rsid w:val="7D192445"/>
    <w:rsid w:val="7D4D5E56"/>
    <w:rsid w:val="7D4E40A8"/>
    <w:rsid w:val="7D62243D"/>
    <w:rsid w:val="7E29350C"/>
    <w:rsid w:val="7F7D2704"/>
    <w:rsid w:val="7FFF713A"/>
    <w:rsid w:val="F3FB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opLinePunct/>
      <w:spacing w:line="360" w:lineRule="auto"/>
      <w:jc w:val="both"/>
      <w:textAlignment w:val="center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46"/>
    <w:qFormat/>
    <w:uiPriority w:val="0"/>
    <w:pPr>
      <w:keepNext/>
      <w:keepLines/>
      <w:numPr>
        <w:ilvl w:val="0"/>
        <w:numId w:val="1"/>
      </w:numPr>
      <w:spacing w:line="360" w:lineRule="auto"/>
      <w:ind w:left="431" w:hanging="431"/>
      <w:outlineLvl w:val="0"/>
    </w:pPr>
    <w:rPr>
      <w:rFonts w:ascii="Times New Roman" w:hAnsi="Times New Roman" w:eastAsia="宋体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37"/>
    <w:unhideWhenUsed/>
    <w:qFormat/>
    <w:uiPriority w:val="0"/>
    <w:pPr>
      <w:keepNext/>
      <w:keepLines/>
      <w:numPr>
        <w:ilvl w:val="1"/>
        <w:numId w:val="1"/>
      </w:numPr>
      <w:ind w:left="578" w:hanging="578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4">
    <w:name w:val="heading 3"/>
    <w:basedOn w:val="1"/>
    <w:next w:val="1"/>
    <w:link w:val="38"/>
    <w:unhideWhenUsed/>
    <w:qFormat/>
    <w:uiPriority w:val="0"/>
    <w:pPr>
      <w:keepNext/>
      <w:keepLines/>
      <w:numPr>
        <w:ilvl w:val="2"/>
        <w:numId w:val="1"/>
      </w:numPr>
      <w:ind w:left="0" w:firstLine="0"/>
      <w:outlineLvl w:val="2"/>
    </w:pPr>
    <w:rPr>
      <w:rFonts w:ascii="宋体" w:hAnsi="宋体" w:eastAsia="宋体" w:cs="宋体"/>
      <w:b/>
      <w:bCs/>
      <w:sz w:val="30"/>
      <w:szCs w:val="32"/>
    </w:rPr>
  </w:style>
  <w:style w:type="paragraph" w:styleId="5">
    <w:name w:val="heading 4"/>
    <w:basedOn w:val="1"/>
    <w:next w:val="1"/>
    <w:link w:val="56"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62"/>
    <w:unhideWhenUsed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63"/>
    <w:unhideWhenUsed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Cs w:val="24"/>
    </w:rPr>
  </w:style>
  <w:style w:type="paragraph" w:styleId="8">
    <w:name w:val="heading 7"/>
    <w:basedOn w:val="1"/>
    <w:next w:val="1"/>
    <w:link w:val="64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9">
    <w:name w:val="heading 8"/>
    <w:basedOn w:val="1"/>
    <w:next w:val="1"/>
    <w:link w:val="65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Cs w:val="24"/>
    </w:rPr>
  </w:style>
  <w:style w:type="paragraph" w:styleId="10">
    <w:name w:val="heading 9"/>
    <w:basedOn w:val="1"/>
    <w:next w:val="1"/>
    <w:link w:val="66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1">
    <w:name w:val="Default Paragraph Font"/>
    <w:unhideWhenUsed/>
    <w:qFormat/>
    <w:uiPriority w:val="1"/>
  </w:style>
  <w:style w:type="table" w:default="1" w:styleId="2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260"/>
      <w:jc w:val="left"/>
    </w:pPr>
    <w:rPr>
      <w:rFonts w:asciiTheme="minorHAnsi" w:hAnsiTheme="minorHAnsi"/>
      <w:sz w:val="18"/>
      <w:szCs w:val="18"/>
    </w:rPr>
  </w:style>
  <w:style w:type="paragraph" w:styleId="12">
    <w:name w:val="annotation text"/>
    <w:basedOn w:val="1"/>
    <w:link w:val="53"/>
    <w:unhideWhenUsed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3">
    <w:name w:val="Body Text"/>
    <w:basedOn w:val="1"/>
    <w:next w:val="1"/>
    <w:link w:val="58"/>
    <w:unhideWhenUsed/>
    <w:qFormat/>
    <w:uiPriority w:val="99"/>
    <w:pPr>
      <w:spacing w:after="120"/>
    </w:pPr>
  </w:style>
  <w:style w:type="paragraph" w:styleId="14">
    <w:name w:val="Body Text Indent"/>
    <w:basedOn w:val="1"/>
    <w:next w:val="15"/>
    <w:link w:val="42"/>
    <w:qFormat/>
    <w:uiPriority w:val="99"/>
    <w:pPr>
      <w:adjustRightInd w:val="0"/>
      <w:ind w:firstLine="490"/>
      <w:jc w:val="left"/>
    </w:pPr>
    <w:rPr>
      <w:rFonts w:ascii="Century Gothic" w:hAnsi="Century Gothic" w:cs="Arial"/>
      <w:szCs w:val="22"/>
    </w:rPr>
  </w:style>
  <w:style w:type="paragraph" w:styleId="15">
    <w:name w:val="annotation subject"/>
    <w:basedOn w:val="12"/>
    <w:next w:val="12"/>
    <w:link w:val="54"/>
    <w:unhideWhenUsed/>
    <w:qFormat/>
    <w:uiPriority w:val="99"/>
    <w:rPr>
      <w:b/>
      <w:bCs/>
    </w:rPr>
  </w:style>
  <w:style w:type="paragraph" w:styleId="16">
    <w:name w:val="toc 5"/>
    <w:basedOn w:val="1"/>
    <w:next w:val="1"/>
    <w:unhideWhenUsed/>
    <w:qFormat/>
    <w:uiPriority w:val="39"/>
    <w:pPr>
      <w:ind w:left="840"/>
      <w:jc w:val="left"/>
    </w:pPr>
    <w:rPr>
      <w:rFonts w:asciiTheme="minorHAnsi" w:hAnsiTheme="minorHAnsi"/>
      <w:sz w:val="18"/>
      <w:szCs w:val="18"/>
    </w:rPr>
  </w:style>
  <w:style w:type="paragraph" w:styleId="17">
    <w:name w:val="toc 3"/>
    <w:basedOn w:val="1"/>
    <w:next w:val="1"/>
    <w:unhideWhenUsed/>
    <w:qFormat/>
    <w:uiPriority w:val="39"/>
    <w:pPr>
      <w:ind w:left="420"/>
      <w:jc w:val="left"/>
    </w:pPr>
    <w:rPr>
      <w:rFonts w:asciiTheme="minorHAnsi" w:hAnsiTheme="minorHAnsi"/>
      <w:i/>
      <w:iCs/>
      <w:sz w:val="20"/>
    </w:rPr>
  </w:style>
  <w:style w:type="paragraph" w:styleId="18">
    <w:name w:val="toc 8"/>
    <w:basedOn w:val="1"/>
    <w:next w:val="1"/>
    <w:unhideWhenUsed/>
    <w:qFormat/>
    <w:uiPriority w:val="39"/>
    <w:pPr>
      <w:ind w:left="1470"/>
      <w:jc w:val="left"/>
    </w:pPr>
    <w:rPr>
      <w:rFonts w:asciiTheme="minorHAnsi" w:hAnsiTheme="minorHAnsi"/>
      <w:sz w:val="18"/>
      <w:szCs w:val="18"/>
    </w:rPr>
  </w:style>
  <w:style w:type="paragraph" w:styleId="19">
    <w:name w:val="Balloon Text"/>
    <w:basedOn w:val="1"/>
    <w:link w:val="47"/>
    <w:unhideWhenUsed/>
    <w:qFormat/>
    <w:uiPriority w:val="99"/>
    <w:rPr>
      <w:rFonts w:ascii="宋体"/>
      <w:sz w:val="18"/>
      <w:szCs w:val="18"/>
    </w:rPr>
  </w:style>
  <w:style w:type="paragraph" w:styleId="20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1"/>
    <w:link w:val="5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toc 1"/>
    <w:basedOn w:val="1"/>
    <w:next w:val="1"/>
    <w:unhideWhenUsed/>
    <w:qFormat/>
    <w:uiPriority w:val="39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23">
    <w:name w:val="toc 4"/>
    <w:basedOn w:val="1"/>
    <w:next w:val="1"/>
    <w:unhideWhenUsed/>
    <w:qFormat/>
    <w:uiPriority w:val="39"/>
    <w:pPr>
      <w:ind w:left="630"/>
      <w:jc w:val="left"/>
    </w:pPr>
    <w:rPr>
      <w:rFonts w:asciiTheme="minorHAnsi" w:hAnsiTheme="minorHAnsi"/>
      <w:sz w:val="18"/>
      <w:szCs w:val="18"/>
    </w:rPr>
  </w:style>
  <w:style w:type="paragraph" w:styleId="24">
    <w:name w:val="toc 6"/>
    <w:basedOn w:val="1"/>
    <w:next w:val="1"/>
    <w:unhideWhenUsed/>
    <w:qFormat/>
    <w:uiPriority w:val="39"/>
    <w:pPr>
      <w:ind w:left="1050"/>
      <w:jc w:val="left"/>
    </w:pPr>
    <w:rPr>
      <w:rFonts w:asciiTheme="minorHAnsi" w:hAnsiTheme="minorHAnsi"/>
      <w:sz w:val="18"/>
      <w:szCs w:val="18"/>
    </w:rPr>
  </w:style>
  <w:style w:type="paragraph" w:styleId="25">
    <w:name w:val="toc 2"/>
    <w:basedOn w:val="1"/>
    <w:next w:val="1"/>
    <w:unhideWhenUsed/>
    <w:qFormat/>
    <w:uiPriority w:val="39"/>
    <w:pPr>
      <w:ind w:left="210"/>
      <w:jc w:val="left"/>
    </w:pPr>
    <w:rPr>
      <w:rFonts w:asciiTheme="minorHAnsi" w:hAnsiTheme="minorHAnsi"/>
      <w:smallCaps/>
      <w:sz w:val="20"/>
    </w:rPr>
  </w:style>
  <w:style w:type="paragraph" w:styleId="26">
    <w:name w:val="toc 9"/>
    <w:basedOn w:val="1"/>
    <w:next w:val="1"/>
    <w:unhideWhenUsed/>
    <w:qFormat/>
    <w:uiPriority w:val="39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2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eastAsiaTheme="minorEastAsia"/>
      <w:kern w:val="0"/>
      <w:szCs w:val="24"/>
    </w:rPr>
  </w:style>
  <w:style w:type="paragraph" w:styleId="28">
    <w:name w:val="Body Text First Indent"/>
    <w:basedOn w:val="13"/>
    <w:link w:val="61"/>
    <w:unhideWhenUsed/>
    <w:qFormat/>
    <w:uiPriority w:val="99"/>
    <w:pPr>
      <w:ind w:firstLine="420" w:firstLineChars="100"/>
    </w:pPr>
    <w:rPr>
      <w:rFonts w:ascii="Calibri" w:hAnsi="Calibri"/>
      <w:szCs w:val="22"/>
    </w:rPr>
  </w:style>
  <w:style w:type="table" w:styleId="30">
    <w:name w:val="Table Grid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page number"/>
    <w:basedOn w:val="31"/>
    <w:unhideWhenUsed/>
    <w:qFormat/>
    <w:uiPriority w:val="99"/>
  </w:style>
  <w:style w:type="character" w:styleId="33">
    <w:name w:val="Emphasis"/>
    <w:basedOn w:val="31"/>
    <w:qFormat/>
    <w:uiPriority w:val="20"/>
    <w:rPr>
      <w:i/>
      <w:iCs/>
    </w:rPr>
  </w:style>
  <w:style w:type="character" w:styleId="34">
    <w:name w:val="Hyperlink"/>
    <w:basedOn w:val="3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basedOn w:val="31"/>
    <w:unhideWhenUsed/>
    <w:qFormat/>
    <w:uiPriority w:val="99"/>
    <w:rPr>
      <w:sz w:val="21"/>
      <w:szCs w:val="21"/>
    </w:rPr>
  </w:style>
  <w:style w:type="paragraph" w:customStyle="1" w:styleId="36">
    <w:name w:val="Default"/>
    <w:link w:val="72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37">
    <w:name w:val="标题 2 字符"/>
    <w:basedOn w:val="31"/>
    <w:link w:val="3"/>
    <w:qFormat/>
    <w:uiPriority w:val="9"/>
    <w:rPr>
      <w:rFonts w:ascii="宋体" w:hAnsi="宋体" w:eastAsia="宋体" w:cs="宋体"/>
      <w:b/>
      <w:bCs/>
      <w:kern w:val="2"/>
      <w:sz w:val="32"/>
      <w:szCs w:val="32"/>
    </w:rPr>
  </w:style>
  <w:style w:type="character" w:customStyle="1" w:styleId="38">
    <w:name w:val="标题 3 字符"/>
    <w:basedOn w:val="31"/>
    <w:link w:val="4"/>
    <w:qFormat/>
    <w:uiPriority w:val="0"/>
    <w:rPr>
      <w:rFonts w:ascii="宋体" w:hAnsi="宋体" w:eastAsia="宋体" w:cs="宋体"/>
      <w:b/>
      <w:bCs/>
      <w:kern w:val="2"/>
      <w:sz w:val="30"/>
      <w:szCs w:val="32"/>
    </w:rPr>
  </w:style>
  <w:style w:type="paragraph" w:customStyle="1" w:styleId="39">
    <w:name w:val="列出段落1"/>
    <w:basedOn w:val="1"/>
    <w:link w:val="55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40">
    <w:name w:val="样式 宋体 小四 行距: 1.5 倍行距 首行缩进:  2 字符"/>
    <w:basedOn w:val="1"/>
    <w:qFormat/>
    <w:uiPriority w:val="0"/>
    <w:pPr>
      <w:ind w:firstLine="200" w:firstLineChars="200"/>
    </w:pPr>
    <w:rPr>
      <w:rFonts w:ascii="宋体" w:hAnsi="宋体" w:cs="宋体"/>
      <w:szCs w:val="24"/>
    </w:rPr>
  </w:style>
  <w:style w:type="character" w:customStyle="1" w:styleId="41">
    <w:name w:val="页脚 字符"/>
    <w:basedOn w:val="31"/>
    <w:link w:val="20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42">
    <w:name w:val="正文文本缩进 字符1"/>
    <w:link w:val="14"/>
    <w:qFormat/>
    <w:uiPriority w:val="0"/>
    <w:rPr>
      <w:rFonts w:ascii="Century Gothic" w:hAnsi="Century Gothic" w:eastAsia="宋体" w:cs="Arial"/>
      <w:kern w:val="2"/>
      <w:sz w:val="24"/>
    </w:rPr>
  </w:style>
  <w:style w:type="character" w:customStyle="1" w:styleId="43">
    <w:name w:val="正文文本缩进 字符"/>
    <w:basedOn w:val="31"/>
    <w:semiHidden/>
    <w:qFormat/>
    <w:uiPriority w:val="99"/>
    <w:rPr>
      <w:rFonts w:ascii="Times New Roman" w:hAnsi="Times New Roman" w:eastAsia="宋体" w:cs="Times New Roman"/>
      <w:kern w:val="2"/>
      <w:sz w:val="21"/>
      <w:szCs w:val="20"/>
    </w:rPr>
  </w:style>
  <w:style w:type="character" w:customStyle="1" w:styleId="44">
    <w:name w:val="中等深浅网格 2 字符"/>
    <w:link w:val="45"/>
    <w:qFormat/>
    <w:uiPriority w:val="1"/>
    <w:rPr>
      <w:rFonts w:ascii="Calibri" w:hAnsi="Calibri"/>
      <w:kern w:val="2"/>
      <w:sz w:val="21"/>
    </w:rPr>
  </w:style>
  <w:style w:type="paragraph" w:customStyle="1" w:styleId="45">
    <w:name w:val="中等深浅网格 22"/>
    <w:link w:val="44"/>
    <w:qFormat/>
    <w:uiPriority w:val="1"/>
    <w:pPr>
      <w:widowControl w:val="0"/>
      <w:jc w:val="both"/>
    </w:pPr>
    <w:rPr>
      <w:rFonts w:ascii="Calibri" w:hAnsi="Calibri" w:eastAsia="微软雅黑" w:cstheme="minorBidi"/>
      <w:kern w:val="2"/>
      <w:sz w:val="21"/>
      <w:szCs w:val="22"/>
      <w:lang w:val="en-US" w:eastAsia="zh-CN" w:bidi="ar-SA"/>
    </w:rPr>
  </w:style>
  <w:style w:type="character" w:customStyle="1" w:styleId="46">
    <w:name w:val="标题 1 字符"/>
    <w:basedOn w:val="31"/>
    <w:link w:val="2"/>
    <w:qFormat/>
    <w:uiPriority w:val="0"/>
    <w:rPr>
      <w:rFonts w:ascii="Times New Roman" w:hAnsi="Times New Roman" w:eastAsia="宋体" w:cs="Times New Roman"/>
      <w:b/>
      <w:bCs/>
      <w:kern w:val="44"/>
      <w:sz w:val="30"/>
      <w:szCs w:val="44"/>
    </w:rPr>
  </w:style>
  <w:style w:type="character" w:customStyle="1" w:styleId="47">
    <w:name w:val="批注框文本 字符"/>
    <w:basedOn w:val="31"/>
    <w:link w:val="19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48">
    <w:name w:val="标书正文格式"/>
    <w:qFormat/>
    <w:uiPriority w:val="0"/>
    <w:pPr>
      <w:spacing w:line="360" w:lineRule="auto"/>
      <w:ind w:firstLine="200" w:firstLineChars="200"/>
    </w:pPr>
    <w:rPr>
      <w:rFonts w:ascii="Times New Roman" w:hAnsi="Times New Roman" w:eastAsia="楷体_GB2312" w:cs="Times New Roman"/>
      <w:sz w:val="24"/>
      <w:szCs w:val="24"/>
      <w:lang w:val="en-US" w:eastAsia="zh-CN" w:bidi="ar-SA"/>
    </w:rPr>
  </w:style>
  <w:style w:type="paragraph" w:customStyle="1" w:styleId="49">
    <w:name w:val="Table Paragraph"/>
    <w:basedOn w:val="1"/>
    <w:qFormat/>
    <w:uiPriority w:val="0"/>
    <w:pPr>
      <w:spacing w:beforeLines="25" w:afterLines="25" w:line="300" w:lineRule="auto"/>
      <w:ind w:firstLine="200" w:firstLineChars="200"/>
      <w:jc w:val="left"/>
    </w:pPr>
    <w:rPr>
      <w:rFonts w:ascii="Calibri" w:hAnsi="Calibri" w:cs="黑体"/>
      <w:kern w:val="0"/>
      <w:sz w:val="22"/>
      <w:szCs w:val="22"/>
      <w:lang w:eastAsia="en-US"/>
    </w:rPr>
  </w:style>
  <w:style w:type="paragraph" w:customStyle="1" w:styleId="50">
    <w:name w:val="p0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character" w:customStyle="1" w:styleId="51">
    <w:name w:val="font11"/>
    <w:basedOn w:val="31"/>
    <w:qFormat/>
    <w:uiPriority w:val="0"/>
    <w:rPr>
      <w:sz w:val="18"/>
      <w:szCs w:val="18"/>
    </w:rPr>
  </w:style>
  <w:style w:type="paragraph" w:customStyle="1" w:styleId="52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3">
    <w:name w:val="批注文字 字符"/>
    <w:basedOn w:val="31"/>
    <w:link w:val="12"/>
    <w:qFormat/>
    <w:uiPriority w:val="0"/>
    <w:rPr>
      <w:rFonts w:ascii="Times New Roman" w:hAnsi="Times New Roman" w:eastAsia="宋体"/>
      <w:kern w:val="2"/>
      <w:sz w:val="21"/>
    </w:rPr>
  </w:style>
  <w:style w:type="character" w:customStyle="1" w:styleId="54">
    <w:name w:val="批注主题 字符"/>
    <w:basedOn w:val="53"/>
    <w:link w:val="15"/>
    <w:semiHidden/>
    <w:qFormat/>
    <w:uiPriority w:val="99"/>
    <w:rPr>
      <w:rFonts w:ascii="Times New Roman" w:hAnsi="Times New Roman" w:eastAsia="宋体"/>
      <w:b/>
      <w:bCs/>
      <w:kern w:val="2"/>
      <w:sz w:val="21"/>
    </w:rPr>
  </w:style>
  <w:style w:type="character" w:customStyle="1" w:styleId="55">
    <w:name w:val="列表段落 字符"/>
    <w:link w:val="39"/>
    <w:qFormat/>
    <w:locked/>
    <w:uiPriority w:val="1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56">
    <w:name w:val="标题 4 字符"/>
    <w:basedOn w:val="31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57">
    <w:name w:val="页眉 字符"/>
    <w:basedOn w:val="31"/>
    <w:link w:val="21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58">
    <w:name w:val="正文文本 字符"/>
    <w:basedOn w:val="31"/>
    <w:link w:val="13"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customStyle="1" w:styleId="59">
    <w:name w:val="列表段落2"/>
    <w:basedOn w:val="1"/>
    <w:qFormat/>
    <w:uiPriority w:val="34"/>
    <w:pPr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theme="minorBidi"/>
      <w:kern w:val="0"/>
      <w:sz w:val="22"/>
      <w:szCs w:val="22"/>
    </w:rPr>
  </w:style>
  <w:style w:type="paragraph" w:customStyle="1" w:styleId="60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61">
    <w:name w:val="正文文本首行缩进 字符"/>
    <w:basedOn w:val="58"/>
    <w:link w:val="28"/>
    <w:semiHidden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62">
    <w:name w:val="标题 5 字符"/>
    <w:basedOn w:val="31"/>
    <w:link w:val="6"/>
    <w:qFormat/>
    <w:uiPriority w:val="0"/>
    <w:rPr>
      <w:b/>
      <w:bCs/>
      <w:kern w:val="2"/>
      <w:sz w:val="28"/>
      <w:szCs w:val="28"/>
    </w:rPr>
  </w:style>
  <w:style w:type="character" w:customStyle="1" w:styleId="63">
    <w:name w:val="标题 6 字符"/>
    <w:basedOn w:val="31"/>
    <w:link w:val="7"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64">
    <w:name w:val="标题 7 字符"/>
    <w:basedOn w:val="31"/>
    <w:link w:val="8"/>
    <w:semiHidden/>
    <w:qFormat/>
    <w:uiPriority w:val="9"/>
    <w:rPr>
      <w:b/>
      <w:bCs/>
      <w:kern w:val="2"/>
      <w:sz w:val="24"/>
      <w:szCs w:val="24"/>
    </w:rPr>
  </w:style>
  <w:style w:type="character" w:customStyle="1" w:styleId="65">
    <w:name w:val="标题 8 字符"/>
    <w:basedOn w:val="31"/>
    <w:link w:val="9"/>
    <w:semiHidden/>
    <w:qFormat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66">
    <w:name w:val="标题 9 字符"/>
    <w:basedOn w:val="31"/>
    <w:link w:val="10"/>
    <w:semiHidden/>
    <w:qFormat/>
    <w:uiPriority w:val="9"/>
    <w:rPr>
      <w:rFonts w:asciiTheme="majorHAnsi" w:hAnsiTheme="majorHAnsi" w:eastAsiaTheme="majorEastAsia" w:cstheme="majorBidi"/>
      <w:kern w:val="2"/>
      <w:sz w:val="21"/>
      <w:szCs w:val="21"/>
    </w:rPr>
  </w:style>
  <w:style w:type="paragraph" w:styleId="67">
    <w:name w:val="List Paragraph"/>
    <w:basedOn w:val="1"/>
    <w:link w:val="68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68">
    <w:name w:val="列表段落 字符1"/>
    <w:link w:val="67"/>
    <w:qFormat/>
    <w:locked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69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0">
    <w:name w:val="正文_0_0_0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customStyle="1" w:styleId="71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customStyle="1" w:styleId="72">
    <w:name w:val="Default Char"/>
    <w:link w:val="36"/>
    <w:qFormat/>
    <w:locked/>
    <w:uiPriority w:val="0"/>
    <w:rPr>
      <w:rFonts w:ascii="宋体" w:hAnsi="Calibri"/>
      <w:color w:val="000000"/>
      <w:sz w:val="24"/>
      <w:szCs w:val="24"/>
    </w:rPr>
  </w:style>
  <w:style w:type="paragraph" w:customStyle="1" w:styleId="73">
    <w:name w:val="msolistparagraph"/>
    <w:basedOn w:val="1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 w:firstLine="420" w:firstLineChars="20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682573D6-5CEC-4E8D-9FB0-5F8C06E791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5766</Words>
  <Characters>5886</Characters>
  <Lines>91</Lines>
  <Paragraphs>25</Paragraphs>
  <TotalTime>4</TotalTime>
  <ScaleCrop>false</ScaleCrop>
  <LinksUpToDate>false</LinksUpToDate>
  <CharactersWithSpaces>5930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2025-11-07T04:55:00Z</dcterms:created>
  <dc:creator>Administrator</dc:creator>
  <cp:lastModifiedBy>15957778420</cp:lastModifiedBy>
  <dcterms:modified xsi:type="dcterms:W3CDTF">2026-09-22T01:30:48Z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F662CFF4DCF547AC8B12867FBA382653_13</vt:lpwstr>
  </property>
  <property fmtid="{D5CDD505-2E9C-101B-9397-08002B2CF9AE}" pid="4" name="KSOTemplateDocerSaveRecord">
    <vt:lpwstr>eyJoZGlkIjoiMjBhZDY0MjgzZjY4OWMyYzg3ZjZjZTcyMzZmMDEwYjIiLCJ1c2VySWQiOiI2ODQ4MTUwMTQifQ==</vt:lpwstr>
  </property>
</Properties>
</file>