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clear" w:pos="840"/>
        </w:tabs>
        <w:adjustRightInd/>
        <w:snapToGrid/>
        <w:spacing w:before="120" w:after="120" w:line="360" w:lineRule="auto"/>
        <w:jc w:val="center"/>
        <w:rPr>
          <w:rFonts w:hint="eastAsia" w:hAnsi="宋体" w:cs="宋体"/>
          <w:color w:val="000000"/>
          <w:sz w:val="44"/>
          <w:szCs w:val="44"/>
          <w:highlight w:val="none"/>
          <w:lang w:val="en-US" w:eastAsia="zh-CN"/>
        </w:rPr>
      </w:pPr>
      <w:bookmarkStart w:id="0" w:name="_Toc451522337"/>
      <w:r>
        <w:rPr>
          <w:rFonts w:hint="eastAsia" w:ascii="宋体" w:hAnsi="宋体" w:eastAsia="宋体" w:cs="宋体"/>
          <w:color w:val="000000"/>
          <w:sz w:val="44"/>
          <w:szCs w:val="44"/>
          <w:highlight w:val="none"/>
        </w:rPr>
        <w:t>温州市中医院</w:t>
      </w:r>
      <w:r>
        <w:rPr>
          <w:rFonts w:hint="eastAsia" w:hAnsi="宋体" w:cs="宋体"/>
          <w:color w:val="000000"/>
          <w:sz w:val="44"/>
          <w:szCs w:val="44"/>
          <w:highlight w:val="none"/>
          <w:lang w:val="en-US" w:eastAsia="zh-CN"/>
        </w:rPr>
        <w:t>公务用车维修服务（2026年度）</w:t>
      </w:r>
    </w:p>
    <w:p>
      <w:pPr>
        <w:pStyle w:val="2"/>
        <w:tabs>
          <w:tab w:val="clear" w:pos="840"/>
        </w:tabs>
        <w:adjustRightInd/>
        <w:snapToGrid/>
        <w:spacing w:before="120" w:after="120" w:line="360" w:lineRule="auto"/>
        <w:jc w:val="center"/>
        <w:rPr>
          <w:rFonts w:hint="eastAsia" w:ascii="宋体" w:hAnsi="宋体" w:eastAsia="宋体" w:cs="宋体"/>
          <w:color w:val="000000"/>
          <w:sz w:val="44"/>
          <w:szCs w:val="44"/>
          <w:highlight w:val="none"/>
          <w:lang w:val="en-US" w:eastAsia="zh-CN"/>
        </w:rPr>
      </w:pPr>
      <w:r>
        <w:rPr>
          <w:rFonts w:hint="eastAsia" w:ascii="宋体" w:hAnsi="宋体" w:eastAsia="宋体" w:cs="宋体"/>
          <w:color w:val="000000"/>
          <w:sz w:val="44"/>
          <w:szCs w:val="44"/>
          <w:highlight w:val="none"/>
        </w:rPr>
        <w:t>采购</w:t>
      </w:r>
      <w:bookmarkEnd w:id="0"/>
      <w:r>
        <w:rPr>
          <w:rFonts w:hint="eastAsia" w:ascii="宋体" w:hAnsi="宋体" w:eastAsia="宋体" w:cs="宋体"/>
          <w:color w:val="000000"/>
          <w:sz w:val="44"/>
          <w:szCs w:val="44"/>
          <w:highlight w:val="none"/>
          <w:lang w:val="en-US" w:eastAsia="zh-CN"/>
        </w:rPr>
        <w:t>文件</w:t>
      </w:r>
    </w:p>
    <w:p>
      <w:pPr>
        <w:numPr>
          <w:ilvl w:val="0"/>
          <w:numId w:val="2"/>
        </w:numPr>
        <w:rPr>
          <w:rFonts w:hint="eastAsia"/>
          <w:b/>
          <w:bCs/>
          <w:sz w:val="28"/>
          <w:szCs w:val="28"/>
          <w:highlight w:val="none"/>
        </w:rPr>
      </w:pPr>
      <w:r>
        <w:rPr>
          <w:rFonts w:hint="eastAsia"/>
          <w:b/>
          <w:bCs/>
          <w:sz w:val="28"/>
          <w:szCs w:val="28"/>
          <w:highlight w:val="none"/>
        </w:rPr>
        <w:t>项目基本信息</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7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vAlign w:val="center"/>
          </w:tcPr>
          <w:p>
            <w:pPr>
              <w:pStyle w:val="4"/>
              <w:widowControl w:val="0"/>
              <w:numPr>
                <w:ilvl w:val="0"/>
                <w:numId w:val="0"/>
              </w:numPr>
              <w:spacing w:line="36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条目</w:t>
            </w:r>
          </w:p>
        </w:tc>
        <w:tc>
          <w:tcPr>
            <w:tcW w:w="7967" w:type="dxa"/>
          </w:tcPr>
          <w:p>
            <w:pPr>
              <w:pStyle w:val="4"/>
              <w:widowControl w:val="0"/>
              <w:numPr>
                <w:ilvl w:val="0"/>
                <w:numId w:val="0"/>
              </w:numPr>
              <w:spacing w:line="36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vAlign w:val="center"/>
          </w:tcPr>
          <w:p>
            <w:pPr>
              <w:pStyle w:val="4"/>
              <w:widowControl w:val="0"/>
              <w:numPr>
                <w:ilvl w:val="0"/>
                <w:numId w:val="0"/>
              </w:numPr>
              <w:spacing w:line="36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项目名称</w:t>
            </w:r>
          </w:p>
        </w:tc>
        <w:tc>
          <w:tcPr>
            <w:tcW w:w="7967" w:type="dxa"/>
          </w:tcPr>
          <w:p>
            <w:pPr>
              <w:pStyle w:val="4"/>
              <w:widowControl w:val="0"/>
              <w:numPr>
                <w:ilvl w:val="0"/>
                <w:numId w:val="0"/>
              </w:numPr>
              <w:spacing w:line="360" w:lineRule="auto"/>
              <w:jc w:val="left"/>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rPr>
              <w:t>温州市中医院公务用车维修服务</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2026年度）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vAlign w:val="center"/>
          </w:tcPr>
          <w:p>
            <w:pPr>
              <w:pStyle w:val="4"/>
              <w:widowControl w:val="0"/>
              <w:numPr>
                <w:ilvl w:val="0"/>
                <w:numId w:val="0"/>
              </w:numPr>
              <w:spacing w:line="36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采购人</w:t>
            </w:r>
          </w:p>
        </w:tc>
        <w:tc>
          <w:tcPr>
            <w:tcW w:w="7967" w:type="dxa"/>
          </w:tcPr>
          <w:p>
            <w:pPr>
              <w:pStyle w:val="4"/>
              <w:widowControl w:val="0"/>
              <w:numPr>
                <w:ilvl w:val="0"/>
                <w:numId w:val="0"/>
              </w:numPr>
              <w:spacing w:line="360" w:lineRule="auto"/>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温州市中医院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vAlign w:val="center"/>
          </w:tcPr>
          <w:p>
            <w:pPr>
              <w:pStyle w:val="4"/>
              <w:widowControl w:val="0"/>
              <w:numPr>
                <w:ilvl w:val="0"/>
                <w:numId w:val="0"/>
              </w:numPr>
              <w:spacing w:line="36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采购方式</w:t>
            </w:r>
          </w:p>
        </w:tc>
        <w:tc>
          <w:tcPr>
            <w:tcW w:w="7967" w:type="dxa"/>
          </w:tcPr>
          <w:p>
            <w:pPr>
              <w:pStyle w:val="4"/>
              <w:widowControl w:val="0"/>
              <w:numPr>
                <w:ilvl w:val="0"/>
                <w:numId w:val="0"/>
              </w:numPr>
              <w:spacing w:line="360" w:lineRule="auto"/>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框架协议采购（第二阶段</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院内公开遴选</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vAlign w:val="center"/>
          </w:tcPr>
          <w:p>
            <w:pPr>
              <w:pStyle w:val="4"/>
              <w:widowControl w:val="0"/>
              <w:numPr>
                <w:ilvl w:val="0"/>
                <w:numId w:val="0"/>
              </w:numPr>
              <w:spacing w:line="36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项目预算</w:t>
            </w:r>
          </w:p>
        </w:tc>
        <w:tc>
          <w:tcPr>
            <w:tcW w:w="7967" w:type="dxa"/>
          </w:tcPr>
          <w:p>
            <w:pPr>
              <w:pStyle w:val="4"/>
              <w:widowControl w:val="0"/>
              <w:numPr>
                <w:ilvl w:val="0"/>
                <w:numId w:val="0"/>
              </w:numPr>
              <w:spacing w:line="360" w:lineRule="auto"/>
              <w:jc w:val="left"/>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98000元/年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vAlign w:val="center"/>
          </w:tcPr>
          <w:p>
            <w:pPr>
              <w:pStyle w:val="4"/>
              <w:widowControl w:val="0"/>
              <w:numPr>
                <w:ilvl w:val="0"/>
                <w:numId w:val="0"/>
              </w:numPr>
              <w:spacing w:line="36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服务期限</w:t>
            </w:r>
          </w:p>
        </w:tc>
        <w:tc>
          <w:tcPr>
            <w:tcW w:w="7967" w:type="dxa"/>
          </w:tcPr>
          <w:p>
            <w:pPr>
              <w:pStyle w:val="24"/>
              <w:spacing w:line="360" w:lineRule="auto"/>
              <w:jc w:val="left"/>
              <w:rPr>
                <w:rFonts w:hint="eastAsia" w:ascii="宋体" w:hAnsi="宋体" w:eastAsia="宋体" w:cs="宋体"/>
                <w:sz w:val="24"/>
                <w:szCs w:val="24"/>
                <w:highlight w:val="none"/>
                <w:vertAlign w:val="baseline"/>
                <w:lang w:eastAsia="zh-CN"/>
              </w:rPr>
            </w:pPr>
            <w:r>
              <w:rPr>
                <w:rFonts w:hint="eastAsia" w:ascii="宋体" w:cs="宋体"/>
                <w:sz w:val="24"/>
                <w:szCs w:val="24"/>
                <w:highlight w:val="none"/>
                <w:lang w:val="en-US" w:eastAsia="zh-CN"/>
              </w:rPr>
              <w:t>1年，</w:t>
            </w:r>
            <w:r>
              <w:rPr>
                <w:rFonts w:hint="eastAsia" w:ascii="宋体" w:hAnsi="宋体" w:eastAsia="宋体" w:cs="宋体"/>
                <w:sz w:val="24"/>
                <w:szCs w:val="24"/>
                <w:highlight w:val="none"/>
              </w:rPr>
              <w:t>自合同签订之日起</w:t>
            </w:r>
            <w:r>
              <w:rPr>
                <w:rFonts w:hint="eastAsia" w:ascii="宋体" w:cs="宋体"/>
                <w:sz w:val="24"/>
                <w:szCs w:val="24"/>
                <w:highlight w:val="none"/>
                <w:lang w:val="en-US" w:eastAsia="zh-CN"/>
              </w:rPr>
              <w:t>计。</w:t>
            </w:r>
            <w:r>
              <w:rPr>
                <w:rFonts w:hint="eastAsia" w:ascii="宋体" w:hAnsi="宋体" w:eastAsia="宋体" w:cs="宋体"/>
                <w:color w:val="auto"/>
                <w:sz w:val="24"/>
                <w:szCs w:val="24"/>
                <w:highlight w:val="none"/>
                <w:lang w:val="en-US"/>
              </w:rPr>
              <w:t>合作期内如</w:t>
            </w:r>
            <w:r>
              <w:rPr>
                <w:rFonts w:hint="eastAsia" w:ascii="宋体" w:hAnsi="宋体" w:eastAsia="宋体" w:cs="宋体"/>
                <w:color w:val="auto"/>
                <w:sz w:val="24"/>
                <w:szCs w:val="24"/>
                <w:highlight w:val="none"/>
                <w:lang w:val="en-US" w:eastAsia="zh-CN"/>
              </w:rPr>
              <w:t>因政策变更</w:t>
            </w:r>
            <w:r>
              <w:rPr>
                <w:rFonts w:hint="eastAsia" w:ascii="宋体" w:hAnsi="宋体" w:eastAsia="宋体" w:cs="宋体"/>
                <w:color w:val="auto"/>
                <w:sz w:val="24"/>
                <w:szCs w:val="24"/>
                <w:highlight w:val="none"/>
                <w:lang w:val="en-US"/>
              </w:rPr>
              <w:t>，导致合同无法履行，则合同自行终止</w:t>
            </w:r>
            <w:r>
              <w:rPr>
                <w:rFonts w:hint="eastAsia" w:ascii="宋体" w:hAnsi="宋体" w:eastAsia="宋体" w:cs="宋体"/>
                <w:color w:val="auto"/>
                <w:sz w:val="24"/>
                <w:szCs w:val="24"/>
                <w:highlight w:val="none"/>
                <w:lang w:val="en-US" w:eastAsia="zh-CN"/>
              </w:rPr>
              <w:t>，双方互不承担责任。</w:t>
            </w:r>
          </w:p>
        </w:tc>
      </w:tr>
    </w:tbl>
    <w:p>
      <w:pPr>
        <w:rPr>
          <w:rFonts w:hint="eastAsia"/>
          <w:highlight w:val="none"/>
        </w:rPr>
      </w:pPr>
    </w:p>
    <w:p>
      <w:pPr>
        <w:rPr>
          <w:rFonts w:hint="eastAsia"/>
          <w:b/>
          <w:bCs/>
          <w:sz w:val="28"/>
          <w:szCs w:val="28"/>
          <w:highlight w:val="none"/>
        </w:rPr>
      </w:pPr>
      <w:r>
        <w:rPr>
          <w:rFonts w:hint="eastAsia"/>
          <w:b/>
          <w:bCs/>
          <w:sz w:val="28"/>
          <w:szCs w:val="28"/>
          <w:highlight w:val="none"/>
        </w:rPr>
        <w:t>二、采购需求与服务要求</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（一）服务范围</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为采购人名下的9辆公务用车（详见“车辆信息表”）提供全面的维修、保养及相关服务，包括但不限于：整车修理、总成修理、车辆各级维护、小修、故障救援、年检协助、免费清洁等。</w:t>
      </w:r>
    </w:p>
    <w:p>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▲（二）供应商资格要求</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投标人必须同时满足以下所有条件，其中任何一条不满足，其投标将被视为无效：</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基本资格：具有独立承担民事责任的能力，具有良好的商业信誉和健全的财务会计制度。</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行业资质：具备有效的《营业执照》及《机动车维修经营备案证》，且备案的经营范围包含本项目所需维修类别，资质等级为二类（含）以上汽车维修企业。</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核心前提（政府集中采购入围）：</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投标人必须是“温州市本级（或浙江省）党政机关、事业单位公务用车定点维修框架协议”的有效期内入围供应商。</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证明材料：须提供在“浙江政府采购网”或相关官方渠道发布的入围公告截图、与集中采购机构签订的框架协议关键页复印件（须包含供应商名称、协议有效期及服务范围），并加盖投标人公章。采购人有权通过官方渠道进行核实，如发现虚假材料，将取消其投标或中标资格，并报主管部门处理。</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（三）维修流程与审批权限</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小额维修（单次≤1,000元）：由用车科室申请，</w:t>
      </w:r>
      <w:bookmarkStart w:id="1" w:name="OLE_LINK1"/>
      <w:r>
        <w:rPr>
          <w:rFonts w:hint="eastAsia" w:ascii="宋体" w:hAnsi="宋体" w:eastAsia="宋体" w:cs="宋体"/>
          <w:sz w:val="24"/>
          <w:szCs w:val="24"/>
          <w:highlight w:val="none"/>
        </w:rPr>
        <w:t>经车队负责人审核、部门分管领导批准后，</w:t>
      </w:r>
      <w:r>
        <w:rPr>
          <w:rFonts w:hint="eastAsia" w:ascii="宋体" w:hAnsi="宋体" w:eastAsia="宋体" w:cs="宋体"/>
          <w:sz w:val="24"/>
          <w:szCs w:val="24"/>
          <w:highlight w:val="none"/>
          <w:lang w:val="en-US" w:eastAsia="zh-CN"/>
        </w:rPr>
        <w:t>方可</w:t>
      </w:r>
      <w:r>
        <w:rPr>
          <w:rFonts w:hint="eastAsia" w:ascii="宋体" w:hAnsi="宋体" w:eastAsia="宋体" w:cs="宋体"/>
          <w:sz w:val="24"/>
          <w:szCs w:val="24"/>
          <w:highlight w:val="none"/>
        </w:rPr>
        <w:t>送修至中标供应商。</w:t>
      </w:r>
    </w:p>
    <w:bookmarkEnd w:id="1"/>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大额维修（单次&gt;1,000元）：</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须先由采购人委托的第三方专业机构（中国人民财产保险股份有限公司温州分公司）进行损坏鉴定与维修费用预估。</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凭第三方出具的核价单，经车队负责人审核、部门分管领导批准后，</w:t>
      </w:r>
      <w:r>
        <w:rPr>
          <w:rFonts w:hint="eastAsia" w:ascii="宋体" w:hAnsi="宋体" w:eastAsia="宋体" w:cs="宋体"/>
          <w:sz w:val="24"/>
          <w:szCs w:val="24"/>
          <w:highlight w:val="none"/>
          <w:lang w:val="en-US" w:eastAsia="zh-CN"/>
        </w:rPr>
        <w:t>方可</w:t>
      </w:r>
      <w:r>
        <w:rPr>
          <w:rFonts w:hint="eastAsia" w:ascii="宋体" w:hAnsi="宋体" w:eastAsia="宋体" w:cs="宋体"/>
          <w:sz w:val="24"/>
          <w:szCs w:val="24"/>
          <w:highlight w:val="none"/>
        </w:rPr>
        <w:t>送修至中标供应商。</w:t>
      </w:r>
    </w:p>
    <w:p>
      <w:pPr>
        <w:numPr>
          <w:ilvl w:val="0"/>
          <w:numId w:val="3"/>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紧急救援：车辆发生故障需紧急救援时，驾驶员可第一时间联系中标供应商，事后按程序补办审批手续。</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（四）服务质量与时效承诺</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维修时效：供应商承诺做到随到随修，急用急修。小修故障当日完成；总成大修不超过5个工作日；整车大修不超过15个工作日。</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配件质保：承诺使用符合国家标准或原厂标准的零配件。除易损件外，零配件质保期不低于20,000公里或1年（以先到者为准）。</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服务标准：未尽事宜，严格按照 《温州市本级党政机关公务用车维修管理办法》（温财采〔2025〕3号） 及国家、行业相关标准执行。</w:t>
      </w:r>
    </w:p>
    <w:p>
      <w:pPr>
        <w:numPr>
          <w:ilvl w:val="0"/>
          <w:numId w:val="0"/>
        </w:numPr>
        <w:spacing w:line="360" w:lineRule="auto"/>
        <w:rPr>
          <w:rFonts w:hint="eastAsia" w:ascii="宋体" w:hAnsi="宋体" w:cs="宋体"/>
          <w:b/>
          <w:sz w:val="28"/>
          <w:szCs w:val="28"/>
          <w:highlight w:val="none"/>
        </w:rPr>
      </w:pPr>
      <w:r>
        <w:rPr>
          <w:rFonts w:hint="eastAsia" w:ascii="宋体" w:hAnsi="宋体" w:cs="宋体"/>
          <w:b/>
          <w:kern w:val="2"/>
          <w:sz w:val="28"/>
          <w:szCs w:val="28"/>
          <w:highlight w:val="none"/>
          <w:lang w:val="en-US" w:eastAsia="zh-CN" w:bidi="ar-SA"/>
        </w:rPr>
        <w:t>三</w:t>
      </w:r>
      <w:r>
        <w:rPr>
          <w:rFonts w:hint="eastAsia" w:ascii="宋体" w:hAnsi="宋体" w:eastAsia="宋体" w:cs="宋体"/>
          <w:b/>
          <w:kern w:val="2"/>
          <w:sz w:val="28"/>
          <w:szCs w:val="28"/>
          <w:highlight w:val="none"/>
          <w:lang w:val="en-US" w:eastAsia="zh-CN" w:bidi="ar-SA"/>
        </w:rPr>
        <w:t>、</w:t>
      </w:r>
      <w:r>
        <w:rPr>
          <w:rFonts w:hint="eastAsia" w:ascii="宋体" w:hAnsi="宋体" w:cs="宋体"/>
          <w:b/>
          <w:sz w:val="28"/>
          <w:szCs w:val="28"/>
          <w:highlight w:val="none"/>
          <w:lang w:val="en-US" w:eastAsia="zh-CN"/>
        </w:rPr>
        <w:t>车辆信息</w:t>
      </w:r>
    </w:p>
    <w:tbl>
      <w:tblPr>
        <w:tblStyle w:val="18"/>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3900"/>
        <w:gridCol w:w="4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top"/>
          </w:tcPr>
          <w:p>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cs="宋体"/>
                <w:b/>
                <w:bCs/>
                <w:i w:val="0"/>
                <w:iCs w:val="0"/>
                <w:caps w:val="0"/>
                <w:color w:val="auto"/>
                <w:spacing w:val="0"/>
                <w:kern w:val="0"/>
                <w:sz w:val="24"/>
                <w:szCs w:val="24"/>
                <w:highlight w:val="none"/>
                <w:lang w:val="en-US" w:eastAsia="zh-CN" w:bidi="ar"/>
              </w:rPr>
              <w:t>序号</w:t>
            </w:r>
          </w:p>
        </w:tc>
        <w:tc>
          <w:tcPr>
            <w:tcW w:w="3900"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bCs/>
                <w:color w:val="auto"/>
                <w:sz w:val="24"/>
                <w:szCs w:val="24"/>
                <w:highlight w:val="none"/>
                <w:vertAlign w:val="baseline"/>
                <w:lang w:val="en-US" w:eastAsia="zh-CN"/>
              </w:rPr>
            </w:pPr>
            <w:r>
              <w:rPr>
                <w:rFonts w:ascii="宋体" w:hAnsi="宋体" w:eastAsia="宋体" w:cs="宋体"/>
                <w:b/>
                <w:bCs/>
                <w:i w:val="0"/>
                <w:iCs w:val="0"/>
                <w:caps w:val="0"/>
                <w:color w:val="auto"/>
                <w:spacing w:val="0"/>
                <w:kern w:val="0"/>
                <w:sz w:val="24"/>
                <w:szCs w:val="24"/>
                <w:highlight w:val="none"/>
                <w:lang w:val="en-US" w:eastAsia="zh-CN" w:bidi="ar"/>
              </w:rPr>
              <w:t>品牌类型</w:t>
            </w:r>
          </w:p>
        </w:tc>
        <w:tc>
          <w:tcPr>
            <w:tcW w:w="4125"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bCs/>
                <w:color w:val="auto"/>
                <w:sz w:val="24"/>
                <w:szCs w:val="24"/>
                <w:highlight w:val="none"/>
                <w:vertAlign w:val="baseline"/>
                <w:lang w:val="en-US" w:eastAsia="zh-CN"/>
              </w:rPr>
            </w:pPr>
            <w:r>
              <w:rPr>
                <w:rFonts w:ascii="宋体" w:hAnsi="宋体" w:eastAsia="宋体" w:cs="宋体"/>
                <w:b/>
                <w:bCs/>
                <w:i w:val="0"/>
                <w:iCs w:val="0"/>
                <w:caps w:val="0"/>
                <w:color w:val="auto"/>
                <w:spacing w:val="0"/>
                <w:kern w:val="0"/>
                <w:sz w:val="24"/>
                <w:szCs w:val="24"/>
                <w:highlight w:val="none"/>
                <w:lang w:val="en-US" w:eastAsia="zh-CN" w:bidi="ar"/>
              </w:rPr>
              <w:t>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top"/>
          </w:tcPr>
          <w:p>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i w:val="0"/>
                <w:iCs w:val="0"/>
                <w:caps w:val="0"/>
                <w:color w:val="auto"/>
                <w:spacing w:val="0"/>
                <w:kern w:val="0"/>
                <w:sz w:val="24"/>
                <w:szCs w:val="24"/>
                <w:highlight w:val="none"/>
                <w:lang w:val="en-US" w:eastAsia="zh-CN" w:bidi="ar"/>
              </w:rPr>
            </w:pPr>
            <w:r>
              <w:rPr>
                <w:rFonts w:hint="eastAsia" w:ascii="宋体" w:hAnsi="宋体" w:cs="宋体"/>
                <w:i w:val="0"/>
                <w:iCs w:val="0"/>
                <w:caps w:val="0"/>
                <w:color w:val="auto"/>
                <w:spacing w:val="0"/>
                <w:kern w:val="0"/>
                <w:sz w:val="24"/>
                <w:szCs w:val="24"/>
                <w:highlight w:val="none"/>
                <w:lang w:val="en-US" w:eastAsia="zh-CN" w:bidi="ar"/>
              </w:rPr>
              <w:t>1</w:t>
            </w:r>
          </w:p>
        </w:tc>
        <w:tc>
          <w:tcPr>
            <w:tcW w:w="3900"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color w:val="auto"/>
                <w:sz w:val="24"/>
                <w:szCs w:val="24"/>
                <w:highlight w:val="none"/>
                <w:vertAlign w:val="baseline"/>
                <w:lang w:val="en-US" w:eastAsia="zh-CN"/>
              </w:rPr>
            </w:pPr>
            <w:r>
              <w:rPr>
                <w:rFonts w:ascii="宋体" w:hAnsi="宋体" w:eastAsia="宋体" w:cs="宋体"/>
                <w:i w:val="0"/>
                <w:iCs w:val="0"/>
                <w:caps w:val="0"/>
                <w:color w:val="auto"/>
                <w:spacing w:val="0"/>
                <w:kern w:val="0"/>
                <w:sz w:val="24"/>
                <w:szCs w:val="24"/>
                <w:highlight w:val="none"/>
                <w:lang w:val="en-US" w:eastAsia="zh-CN" w:bidi="ar"/>
              </w:rPr>
              <w:t>广本奥德赛</w:t>
            </w:r>
          </w:p>
        </w:tc>
        <w:tc>
          <w:tcPr>
            <w:tcW w:w="4125"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i w:val="0"/>
                <w:iCs w:val="0"/>
                <w:caps w:val="0"/>
                <w:color w:val="auto"/>
                <w:spacing w:val="0"/>
                <w:kern w:val="0"/>
                <w:sz w:val="24"/>
                <w:szCs w:val="24"/>
                <w:highlight w:val="none"/>
                <w:lang w:val="en-US" w:eastAsia="zh-CN" w:bidi="ar"/>
              </w:rPr>
              <w:t>MPV</w:t>
            </w:r>
            <w:r>
              <w:rPr>
                <w:rFonts w:ascii="宋体" w:hAnsi="宋体" w:eastAsia="宋体" w:cs="宋体"/>
                <w:i w:val="0"/>
                <w:iCs w:val="0"/>
                <w:caps w:val="0"/>
                <w:color w:val="auto"/>
                <w:spacing w:val="0"/>
                <w:kern w:val="0"/>
                <w:sz w:val="24"/>
                <w:szCs w:val="24"/>
                <w:highlight w:val="none"/>
                <w:lang w:val="en-US" w:eastAsia="zh-CN" w:bidi="ar"/>
              </w:rPr>
              <w:t>商务车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top"/>
          </w:tcPr>
          <w:p>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i w:val="0"/>
                <w:iCs w:val="0"/>
                <w:caps w:val="0"/>
                <w:color w:val="auto"/>
                <w:spacing w:val="0"/>
                <w:kern w:val="0"/>
                <w:sz w:val="24"/>
                <w:szCs w:val="24"/>
                <w:highlight w:val="none"/>
                <w:lang w:val="en-US" w:eastAsia="zh-CN" w:bidi="ar"/>
              </w:rPr>
            </w:pPr>
            <w:r>
              <w:rPr>
                <w:rFonts w:hint="eastAsia" w:ascii="宋体" w:hAnsi="宋体" w:cs="宋体"/>
                <w:i w:val="0"/>
                <w:iCs w:val="0"/>
                <w:caps w:val="0"/>
                <w:color w:val="auto"/>
                <w:spacing w:val="0"/>
                <w:kern w:val="0"/>
                <w:sz w:val="24"/>
                <w:szCs w:val="24"/>
                <w:highlight w:val="none"/>
                <w:lang w:val="en-US" w:eastAsia="zh-CN" w:bidi="ar"/>
              </w:rPr>
              <w:t>2</w:t>
            </w:r>
          </w:p>
        </w:tc>
        <w:tc>
          <w:tcPr>
            <w:tcW w:w="3900"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color w:val="auto"/>
                <w:sz w:val="24"/>
                <w:szCs w:val="24"/>
                <w:highlight w:val="none"/>
                <w:vertAlign w:val="baseline"/>
                <w:lang w:val="en-US" w:eastAsia="zh-CN"/>
              </w:rPr>
            </w:pPr>
            <w:r>
              <w:rPr>
                <w:rFonts w:ascii="宋体" w:hAnsi="宋体" w:eastAsia="宋体" w:cs="宋体"/>
                <w:i w:val="0"/>
                <w:iCs w:val="0"/>
                <w:caps w:val="0"/>
                <w:color w:val="auto"/>
                <w:spacing w:val="0"/>
                <w:kern w:val="0"/>
                <w:sz w:val="24"/>
                <w:szCs w:val="24"/>
                <w:highlight w:val="none"/>
                <w:lang w:val="en-US" w:eastAsia="zh-CN" w:bidi="ar"/>
              </w:rPr>
              <w:t>依维柯轻型</w:t>
            </w:r>
          </w:p>
        </w:tc>
        <w:tc>
          <w:tcPr>
            <w:tcW w:w="4125"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color w:val="auto"/>
                <w:sz w:val="24"/>
                <w:szCs w:val="24"/>
                <w:highlight w:val="none"/>
                <w:vertAlign w:val="baseline"/>
                <w:lang w:val="en-US" w:eastAsia="zh-CN"/>
              </w:rPr>
            </w:pPr>
            <w:r>
              <w:rPr>
                <w:rFonts w:ascii="宋体" w:hAnsi="宋体" w:eastAsia="宋体" w:cs="宋体"/>
                <w:i w:val="0"/>
                <w:iCs w:val="0"/>
                <w:caps w:val="0"/>
                <w:color w:val="auto"/>
                <w:spacing w:val="0"/>
                <w:kern w:val="0"/>
                <w:sz w:val="24"/>
                <w:szCs w:val="24"/>
                <w:highlight w:val="none"/>
                <w:lang w:val="en-US" w:eastAsia="zh-CN" w:bidi="ar"/>
              </w:rPr>
              <w:t>中型客车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top"/>
          </w:tcPr>
          <w:p>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p>
        </w:tc>
        <w:tc>
          <w:tcPr>
            <w:tcW w:w="3900"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魁士牌</w:t>
            </w:r>
          </w:p>
        </w:tc>
        <w:tc>
          <w:tcPr>
            <w:tcW w:w="4125"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color w:val="auto"/>
                <w:sz w:val="24"/>
                <w:szCs w:val="24"/>
                <w:highlight w:val="none"/>
                <w:vertAlign w:val="baseline"/>
                <w:lang w:val="en-US" w:eastAsia="zh-CN"/>
              </w:rPr>
            </w:pPr>
            <w:r>
              <w:rPr>
                <w:rFonts w:ascii="宋体" w:hAnsi="宋体" w:eastAsia="宋体" w:cs="宋体"/>
                <w:i w:val="0"/>
                <w:iCs w:val="0"/>
                <w:caps w:val="0"/>
                <w:color w:val="auto"/>
                <w:spacing w:val="0"/>
                <w:kern w:val="0"/>
                <w:sz w:val="24"/>
                <w:szCs w:val="24"/>
                <w:highlight w:val="none"/>
                <w:lang w:val="en-US" w:eastAsia="zh-CN" w:bidi="ar"/>
              </w:rPr>
              <w:t>其他（救护车）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top"/>
          </w:tcPr>
          <w:p>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i w:val="0"/>
                <w:iCs w:val="0"/>
                <w:caps w:val="0"/>
                <w:color w:val="auto"/>
                <w:spacing w:val="0"/>
                <w:kern w:val="0"/>
                <w:sz w:val="24"/>
                <w:szCs w:val="24"/>
                <w:highlight w:val="none"/>
                <w:lang w:val="en-US" w:eastAsia="zh-CN" w:bidi="ar"/>
              </w:rPr>
            </w:pPr>
            <w:r>
              <w:rPr>
                <w:rFonts w:hint="eastAsia" w:ascii="宋体" w:hAnsi="宋体" w:cs="宋体"/>
                <w:i w:val="0"/>
                <w:iCs w:val="0"/>
                <w:caps w:val="0"/>
                <w:color w:val="auto"/>
                <w:spacing w:val="0"/>
                <w:kern w:val="0"/>
                <w:sz w:val="24"/>
                <w:szCs w:val="24"/>
                <w:highlight w:val="none"/>
                <w:lang w:val="en-US" w:eastAsia="zh-CN" w:bidi="ar"/>
              </w:rPr>
              <w:t>4</w:t>
            </w:r>
          </w:p>
        </w:tc>
        <w:tc>
          <w:tcPr>
            <w:tcW w:w="3900"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color w:val="auto"/>
                <w:sz w:val="24"/>
                <w:szCs w:val="24"/>
                <w:highlight w:val="none"/>
                <w:vertAlign w:val="baseline"/>
                <w:lang w:val="en-US" w:eastAsia="zh-CN"/>
              </w:rPr>
            </w:pPr>
            <w:r>
              <w:rPr>
                <w:rFonts w:ascii="宋体" w:hAnsi="宋体" w:eastAsia="宋体" w:cs="宋体"/>
                <w:i w:val="0"/>
                <w:iCs w:val="0"/>
                <w:caps w:val="0"/>
                <w:color w:val="auto"/>
                <w:spacing w:val="0"/>
                <w:kern w:val="0"/>
                <w:sz w:val="24"/>
                <w:szCs w:val="24"/>
                <w:highlight w:val="none"/>
                <w:lang w:val="en-US" w:eastAsia="zh-CN" w:bidi="ar"/>
              </w:rPr>
              <w:t>西北牌</w:t>
            </w:r>
          </w:p>
        </w:tc>
        <w:tc>
          <w:tcPr>
            <w:tcW w:w="4125"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color w:val="auto"/>
                <w:sz w:val="24"/>
                <w:szCs w:val="24"/>
                <w:highlight w:val="none"/>
                <w:vertAlign w:val="baseline"/>
                <w:lang w:val="en-US" w:eastAsia="zh-CN"/>
              </w:rPr>
            </w:pPr>
            <w:r>
              <w:rPr>
                <w:rFonts w:ascii="宋体" w:hAnsi="宋体" w:eastAsia="宋体" w:cs="宋体"/>
                <w:i w:val="0"/>
                <w:iCs w:val="0"/>
                <w:caps w:val="0"/>
                <w:color w:val="auto"/>
                <w:spacing w:val="0"/>
                <w:kern w:val="0"/>
                <w:sz w:val="24"/>
                <w:szCs w:val="24"/>
                <w:highlight w:val="none"/>
                <w:lang w:val="en-US" w:eastAsia="zh-CN" w:bidi="ar"/>
              </w:rPr>
              <w:t>其他（救护车）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top"/>
          </w:tcPr>
          <w:p>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i w:val="0"/>
                <w:iCs w:val="0"/>
                <w:caps w:val="0"/>
                <w:color w:val="auto"/>
                <w:spacing w:val="0"/>
                <w:kern w:val="0"/>
                <w:sz w:val="24"/>
                <w:szCs w:val="24"/>
                <w:highlight w:val="none"/>
                <w:lang w:val="en-US" w:eastAsia="zh-CN" w:bidi="ar"/>
              </w:rPr>
            </w:pPr>
            <w:r>
              <w:rPr>
                <w:rFonts w:hint="eastAsia" w:ascii="宋体" w:hAnsi="宋体" w:cs="宋体"/>
                <w:i w:val="0"/>
                <w:iCs w:val="0"/>
                <w:caps w:val="0"/>
                <w:color w:val="auto"/>
                <w:spacing w:val="0"/>
                <w:kern w:val="0"/>
                <w:sz w:val="24"/>
                <w:szCs w:val="24"/>
                <w:highlight w:val="none"/>
                <w:lang w:val="en-US" w:eastAsia="zh-CN" w:bidi="ar"/>
              </w:rPr>
              <w:t>5</w:t>
            </w:r>
          </w:p>
        </w:tc>
        <w:tc>
          <w:tcPr>
            <w:tcW w:w="3900"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color w:val="auto"/>
                <w:sz w:val="24"/>
                <w:szCs w:val="24"/>
                <w:highlight w:val="none"/>
                <w:vertAlign w:val="baseline"/>
                <w:lang w:val="en-US" w:eastAsia="zh-CN"/>
              </w:rPr>
            </w:pPr>
            <w:r>
              <w:rPr>
                <w:rFonts w:ascii="宋体" w:hAnsi="宋体" w:eastAsia="宋体" w:cs="宋体"/>
                <w:i w:val="0"/>
                <w:iCs w:val="0"/>
                <w:caps w:val="0"/>
                <w:color w:val="auto"/>
                <w:spacing w:val="0"/>
                <w:kern w:val="0"/>
                <w:sz w:val="24"/>
                <w:szCs w:val="24"/>
                <w:highlight w:val="none"/>
                <w:lang w:val="en-US" w:eastAsia="zh-CN" w:bidi="ar"/>
              </w:rPr>
              <w:t>新阳牌</w:t>
            </w:r>
          </w:p>
        </w:tc>
        <w:tc>
          <w:tcPr>
            <w:tcW w:w="4125"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color w:val="auto"/>
                <w:sz w:val="24"/>
                <w:szCs w:val="24"/>
                <w:highlight w:val="none"/>
                <w:vertAlign w:val="baseline"/>
                <w:lang w:val="en-US" w:eastAsia="zh-CN"/>
              </w:rPr>
            </w:pPr>
            <w:r>
              <w:rPr>
                <w:rFonts w:ascii="宋体" w:hAnsi="宋体" w:eastAsia="宋体" w:cs="宋体"/>
                <w:i w:val="0"/>
                <w:iCs w:val="0"/>
                <w:caps w:val="0"/>
                <w:color w:val="auto"/>
                <w:spacing w:val="0"/>
                <w:kern w:val="0"/>
                <w:sz w:val="24"/>
                <w:szCs w:val="24"/>
                <w:highlight w:val="none"/>
                <w:lang w:val="en-US" w:eastAsia="zh-CN" w:bidi="ar"/>
              </w:rPr>
              <w:t>其他（救护车）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top"/>
          </w:tcPr>
          <w:p>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w:t>
            </w:r>
          </w:p>
        </w:tc>
        <w:tc>
          <w:tcPr>
            <w:tcW w:w="3900"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申驰牌</w:t>
            </w:r>
          </w:p>
        </w:tc>
        <w:tc>
          <w:tcPr>
            <w:tcW w:w="4125"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color w:val="auto"/>
                <w:sz w:val="24"/>
                <w:szCs w:val="24"/>
                <w:highlight w:val="none"/>
                <w:vertAlign w:val="baseline"/>
                <w:lang w:val="en-US" w:eastAsia="zh-CN"/>
              </w:rPr>
            </w:pPr>
            <w:r>
              <w:rPr>
                <w:rFonts w:ascii="宋体" w:hAnsi="宋体" w:eastAsia="宋体" w:cs="宋体"/>
                <w:i w:val="0"/>
                <w:iCs w:val="0"/>
                <w:caps w:val="0"/>
                <w:color w:val="auto"/>
                <w:spacing w:val="0"/>
                <w:kern w:val="0"/>
                <w:sz w:val="24"/>
                <w:szCs w:val="24"/>
                <w:highlight w:val="none"/>
                <w:lang w:val="en-US" w:eastAsia="zh-CN" w:bidi="ar"/>
              </w:rPr>
              <w:t>其他（救护车）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top"/>
          </w:tcPr>
          <w:p>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i w:val="0"/>
                <w:iCs w:val="0"/>
                <w:caps w:val="0"/>
                <w:color w:val="auto"/>
                <w:spacing w:val="0"/>
                <w:kern w:val="0"/>
                <w:sz w:val="24"/>
                <w:szCs w:val="24"/>
                <w:highlight w:val="none"/>
                <w:lang w:val="en-US" w:eastAsia="zh-CN" w:bidi="ar"/>
              </w:rPr>
            </w:pPr>
            <w:r>
              <w:rPr>
                <w:rFonts w:hint="eastAsia" w:ascii="宋体" w:hAnsi="宋体" w:cs="宋体"/>
                <w:i w:val="0"/>
                <w:iCs w:val="0"/>
                <w:caps w:val="0"/>
                <w:color w:val="auto"/>
                <w:spacing w:val="0"/>
                <w:kern w:val="0"/>
                <w:sz w:val="24"/>
                <w:szCs w:val="24"/>
                <w:highlight w:val="none"/>
                <w:lang w:val="en-US" w:eastAsia="zh-CN" w:bidi="ar"/>
              </w:rPr>
              <w:t>7</w:t>
            </w:r>
          </w:p>
        </w:tc>
        <w:tc>
          <w:tcPr>
            <w:tcW w:w="3900" w:type="dxa"/>
            <w:vAlign w:val="top"/>
          </w:tcPr>
          <w:p>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豪沃牌</w:t>
            </w:r>
          </w:p>
        </w:tc>
        <w:tc>
          <w:tcPr>
            <w:tcW w:w="4125" w:type="dxa"/>
            <w:vAlign w:val="top"/>
          </w:tcPr>
          <w:p>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重型半挂牵引车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top"/>
          </w:tcPr>
          <w:p>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8</w:t>
            </w:r>
          </w:p>
        </w:tc>
        <w:tc>
          <w:tcPr>
            <w:tcW w:w="3900" w:type="dxa"/>
            <w:vAlign w:val="top"/>
          </w:tcPr>
          <w:p>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远东牌</w:t>
            </w:r>
          </w:p>
        </w:tc>
        <w:tc>
          <w:tcPr>
            <w:tcW w:w="4125" w:type="dxa"/>
            <w:vAlign w:val="top"/>
          </w:tcPr>
          <w:p>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重型集装箱半挂车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top"/>
          </w:tcPr>
          <w:p>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9</w:t>
            </w:r>
          </w:p>
        </w:tc>
        <w:tc>
          <w:tcPr>
            <w:tcW w:w="3900"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程力重工牌</w:t>
            </w:r>
          </w:p>
        </w:tc>
        <w:tc>
          <w:tcPr>
            <w:tcW w:w="4125"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color w:val="auto"/>
                <w:sz w:val="24"/>
                <w:szCs w:val="24"/>
                <w:highlight w:val="none"/>
                <w:vertAlign w:val="baseline"/>
                <w:lang w:val="en-US" w:eastAsia="zh-CN"/>
              </w:rPr>
            </w:pPr>
            <w:r>
              <w:rPr>
                <w:rFonts w:ascii="宋体" w:hAnsi="宋体" w:eastAsia="宋体" w:cs="宋体"/>
                <w:i w:val="0"/>
                <w:iCs w:val="0"/>
                <w:caps w:val="0"/>
                <w:color w:val="auto"/>
                <w:spacing w:val="0"/>
                <w:kern w:val="0"/>
                <w:sz w:val="24"/>
                <w:szCs w:val="24"/>
                <w:highlight w:val="none"/>
                <w:lang w:val="en-US" w:eastAsia="zh-CN" w:bidi="ar"/>
              </w:rPr>
              <w:t>其他（救护车）</w:t>
            </w:r>
          </w:p>
        </w:tc>
      </w:tr>
    </w:tbl>
    <w:p>
      <w:pPr>
        <w:numPr>
          <w:ilvl w:val="0"/>
          <w:numId w:val="0"/>
        </w:numPr>
        <w:spacing w:line="360" w:lineRule="auto"/>
        <w:rPr>
          <w:rFonts w:hint="eastAsia" w:ascii="宋体" w:hAnsi="宋体" w:eastAsia="宋体" w:cs="宋体"/>
          <w:b w:val="0"/>
          <w:bCs/>
          <w:sz w:val="24"/>
          <w:szCs w:val="24"/>
          <w:highlight w:val="none"/>
          <w:lang w:val="en-US" w:eastAsia="zh-CN"/>
        </w:rPr>
      </w:pPr>
    </w:p>
    <w:p>
      <w:pPr>
        <w:spacing w:line="360" w:lineRule="auto"/>
        <w:rPr>
          <w:rFonts w:hint="default" w:ascii="宋体" w:hAnsi="宋体" w:eastAsia="宋体"/>
          <w:b/>
          <w:bCs/>
          <w:color w:val="000000"/>
          <w:sz w:val="28"/>
          <w:szCs w:val="28"/>
          <w:highlight w:val="none"/>
          <w:lang w:val="en-US" w:eastAsia="zh-CN"/>
        </w:rPr>
      </w:pPr>
      <w:r>
        <w:rPr>
          <w:rFonts w:hint="eastAsia" w:ascii="宋体" w:hAnsi="宋体"/>
          <w:b/>
          <w:bCs/>
          <w:color w:val="000000"/>
          <w:sz w:val="28"/>
          <w:szCs w:val="28"/>
          <w:highlight w:val="none"/>
          <w:lang w:val="en-US" w:eastAsia="zh-CN"/>
        </w:rPr>
        <w:t>四</w:t>
      </w:r>
      <w:r>
        <w:rPr>
          <w:rFonts w:hint="eastAsia" w:ascii="宋体" w:hAnsi="宋体"/>
          <w:b/>
          <w:bCs/>
          <w:color w:val="000000"/>
          <w:sz w:val="28"/>
          <w:szCs w:val="28"/>
          <w:highlight w:val="none"/>
        </w:rPr>
        <w:t>、</w:t>
      </w:r>
      <w:r>
        <w:rPr>
          <w:rFonts w:hint="eastAsia" w:ascii="宋体" w:hAnsi="宋体"/>
          <w:b/>
          <w:bCs/>
          <w:color w:val="000000"/>
          <w:sz w:val="28"/>
          <w:szCs w:val="28"/>
          <w:highlight w:val="none"/>
          <w:lang w:val="en-US" w:eastAsia="zh-CN"/>
        </w:rPr>
        <w:t>付款方式</w:t>
      </w:r>
    </w:p>
    <w:p>
      <w:pPr>
        <w:pStyle w:val="4"/>
        <w:spacing w:line="360" w:lineRule="auto"/>
        <w:ind w:left="0" w:leftChars="0" w:firstLine="480" w:firstLineChars="200"/>
        <w:rPr>
          <w:rFonts w:hint="eastAsia" w:ascii="宋体" w:hAnsi="宋体" w:cs="黑体"/>
          <w:b w:val="0"/>
          <w:bCs w:val="0"/>
          <w:sz w:val="24"/>
          <w:szCs w:val="24"/>
          <w:highlight w:val="none"/>
          <w:lang w:val="en-US" w:eastAsia="zh-CN"/>
        </w:rPr>
      </w:pPr>
      <w:r>
        <w:rPr>
          <w:rFonts w:hint="eastAsia" w:ascii="宋体" w:hAnsi="宋体" w:cs="黑体"/>
          <w:b w:val="0"/>
          <w:bCs w:val="0"/>
          <w:sz w:val="24"/>
          <w:szCs w:val="24"/>
          <w:highlight w:val="none"/>
          <w:lang w:val="en-US" w:eastAsia="zh-CN"/>
        </w:rPr>
        <w:t>采购人对车辆维修单核对确认无误后每月按实际维修情况进行费用结算，中标人开具发票，采购人在收到中标人发票后三个月内支付。</w:t>
      </w:r>
    </w:p>
    <w:p>
      <w:pPr>
        <w:rPr>
          <w:rFonts w:hint="eastAsia" w:ascii="宋体" w:hAnsi="宋体" w:cs="黑体"/>
          <w:b w:val="0"/>
          <w:bCs w:val="0"/>
          <w:sz w:val="24"/>
          <w:szCs w:val="24"/>
          <w:highlight w:val="none"/>
          <w:lang w:val="en-US" w:eastAsia="zh-CN"/>
        </w:rPr>
      </w:pPr>
    </w:p>
    <w:p>
      <w:pPr>
        <w:overflowPunct w:val="0"/>
        <w:spacing w:line="360" w:lineRule="auto"/>
        <w:rPr>
          <w:rFonts w:hint="eastAsia" w:ascii="宋体" w:hAnsi="宋体" w:cs="黑体"/>
          <w:b/>
          <w:bCs/>
          <w:sz w:val="28"/>
          <w:szCs w:val="28"/>
          <w:highlight w:val="none"/>
        </w:rPr>
      </w:pPr>
      <w:r>
        <w:rPr>
          <w:rFonts w:hint="eastAsia" w:ascii="宋体" w:hAnsi="宋体" w:cs="黑体"/>
          <w:b/>
          <w:bCs/>
          <w:sz w:val="28"/>
          <w:szCs w:val="28"/>
          <w:highlight w:val="none"/>
          <w:lang w:val="en-US" w:eastAsia="zh-CN"/>
        </w:rPr>
        <w:t>五</w:t>
      </w:r>
      <w:r>
        <w:rPr>
          <w:rFonts w:hint="eastAsia" w:ascii="宋体" w:hAnsi="宋体" w:cs="黑体"/>
          <w:b/>
          <w:bCs/>
          <w:sz w:val="28"/>
          <w:szCs w:val="28"/>
          <w:highlight w:val="none"/>
        </w:rPr>
        <w:t>、定标方法</w:t>
      </w:r>
    </w:p>
    <w:p>
      <w:pPr>
        <w:pStyle w:val="4"/>
        <w:spacing w:line="360" w:lineRule="auto"/>
        <w:ind w:firstLine="0"/>
        <w:rPr>
          <w:rFonts w:hint="eastAsia" w:ascii="宋体" w:hAnsi="宋体" w:cs="宋体"/>
          <w:sz w:val="24"/>
          <w:szCs w:val="24"/>
          <w:highlight w:val="none"/>
        </w:rPr>
      </w:pPr>
      <w:r>
        <w:rPr>
          <w:rFonts w:hint="eastAsia" w:ascii="宋体" w:hAnsi="宋体" w:cs="宋体"/>
          <w:sz w:val="24"/>
          <w:szCs w:val="24"/>
          <w:highlight w:val="none"/>
        </w:rPr>
        <w:t>1、确定中标候选人</w:t>
      </w:r>
    </w:p>
    <w:p>
      <w:pPr>
        <w:pStyle w:val="4"/>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1.1由评标委员会确定中标候选人。</w:t>
      </w:r>
    </w:p>
    <w:p>
      <w:pPr>
        <w:pStyle w:val="4"/>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评标委员会依据法律、法规及招标文件有关规定按评审后得分（即技术分与商务分之和）由高到低顺序排序，得分前二名的投标人确定为该项目的第一和第二中标候选人（得分相同报价低的排序第一；得分且报价相同的，技术指标优的排序第一）向采购人推荐。</w:t>
      </w:r>
    </w:p>
    <w:p>
      <w:pPr>
        <w:pStyle w:val="4"/>
        <w:spacing w:line="360" w:lineRule="auto"/>
        <w:ind w:firstLine="0"/>
        <w:rPr>
          <w:rFonts w:hint="eastAsia" w:ascii="宋体" w:hAnsi="宋体" w:cs="宋体"/>
          <w:sz w:val="24"/>
          <w:szCs w:val="24"/>
          <w:highlight w:val="none"/>
        </w:rPr>
      </w:pPr>
      <w:r>
        <w:rPr>
          <w:rFonts w:hint="eastAsia" w:ascii="宋体" w:hAnsi="宋体" w:cs="宋体"/>
          <w:sz w:val="24"/>
          <w:szCs w:val="24"/>
          <w:highlight w:val="none"/>
        </w:rPr>
        <w:t>2、确定中标人</w:t>
      </w:r>
    </w:p>
    <w:p>
      <w:pPr>
        <w:pStyle w:val="4"/>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2.1采购人按照评标报告中推荐的中标候选供应商顺序确定中标人；也可以事先授权评标委员会按照推荐的中标候选供应商顺序直接确定中标人。中标候选人并列的，采取随机抽取的方式确定。</w:t>
      </w:r>
    </w:p>
    <w:p>
      <w:pPr>
        <w:pStyle w:val="4"/>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2.2如中标人放弃中标、或未能在规定时间内与采购单位签订合同的；或者经质疑，采购人审查后，确因排名第一的候选人在本次采购活动中存在违法违规行为或其他原因使质疑成立的，采购人可以视情况直接确定排名第二的候选人为中标人或重新组织招标。</w:t>
      </w:r>
    </w:p>
    <w:p>
      <w:pPr>
        <w:pStyle w:val="4"/>
        <w:numPr>
          <w:ilvl w:val="0"/>
          <w:numId w:val="4"/>
        </w:numPr>
        <w:spacing w:line="360" w:lineRule="auto"/>
        <w:ind w:firstLine="480" w:firstLineChars="200"/>
        <w:rPr>
          <w:rFonts w:hint="eastAsia"/>
          <w:sz w:val="24"/>
          <w:szCs w:val="24"/>
          <w:highlight w:val="none"/>
          <w:lang w:eastAsia="zh-CN"/>
        </w:rPr>
      </w:pPr>
      <w:r>
        <w:rPr>
          <w:rFonts w:hint="eastAsia" w:ascii="宋体" w:hAnsi="宋体" w:cs="宋体"/>
          <w:sz w:val="24"/>
          <w:szCs w:val="24"/>
          <w:highlight w:val="none"/>
        </w:rPr>
        <w:t>中标人确定后，采购人将在温州市中医院官网公告中标结果，</w:t>
      </w:r>
      <w:r>
        <w:rPr>
          <w:rFonts w:hint="eastAsia" w:ascii="宋体" w:hAnsi="宋体" w:cs="宋体"/>
          <w:sz w:val="24"/>
          <w:szCs w:val="24"/>
          <w:highlight w:val="none"/>
          <w:lang w:val="en-US" w:eastAsia="zh-CN"/>
        </w:rPr>
        <w:t>并通知</w:t>
      </w:r>
      <w:r>
        <w:rPr>
          <w:rFonts w:hint="eastAsia" w:ascii="宋体" w:hAnsi="宋体" w:cs="宋体"/>
          <w:sz w:val="24"/>
          <w:szCs w:val="24"/>
          <w:highlight w:val="none"/>
        </w:rPr>
        <w:t>中标人</w:t>
      </w:r>
      <w:r>
        <w:rPr>
          <w:rFonts w:hint="eastAsia" w:ascii="宋体" w:hAnsi="宋体" w:cs="宋体"/>
          <w:sz w:val="24"/>
          <w:szCs w:val="24"/>
          <w:highlight w:val="none"/>
          <w:lang w:val="en-US" w:eastAsia="zh-CN"/>
        </w:rPr>
        <w:t>进行合同的签订及项目具体实施</w:t>
      </w:r>
      <w:r>
        <w:rPr>
          <w:rFonts w:hint="eastAsia" w:ascii="宋体" w:hAnsi="宋体" w:cs="宋体"/>
          <w:sz w:val="24"/>
          <w:szCs w:val="24"/>
          <w:highlight w:val="none"/>
        </w:rPr>
        <w:t>。</w:t>
      </w:r>
    </w:p>
    <w:p>
      <w:pPr>
        <w:spacing w:line="360" w:lineRule="auto"/>
        <w:rPr>
          <w:rFonts w:hint="eastAsia" w:ascii="宋体" w:hAnsi="宋体"/>
          <w:b/>
          <w:bCs/>
          <w:color w:val="000000"/>
          <w:sz w:val="24"/>
          <w:szCs w:val="24"/>
          <w:highlight w:val="none"/>
          <w:lang w:val="en-US" w:eastAsia="zh-CN"/>
        </w:rPr>
      </w:pPr>
    </w:p>
    <w:p>
      <w:pPr>
        <w:spacing w:line="360" w:lineRule="auto"/>
        <w:rPr>
          <w:rFonts w:hint="default"/>
          <w:highlight w:val="none"/>
          <w:lang w:val="en-US" w:eastAsia="zh-CN"/>
        </w:rPr>
      </w:pPr>
      <w:r>
        <w:rPr>
          <w:rFonts w:hint="eastAsia" w:ascii="宋体" w:hAnsi="宋体"/>
          <w:b/>
          <w:bCs/>
          <w:color w:val="000000"/>
          <w:sz w:val="28"/>
          <w:szCs w:val="28"/>
          <w:highlight w:val="none"/>
          <w:lang w:val="en-US" w:eastAsia="zh-CN"/>
        </w:rPr>
        <w:t>六</w:t>
      </w:r>
      <w:r>
        <w:rPr>
          <w:rFonts w:hint="eastAsia" w:ascii="宋体" w:hAnsi="宋体"/>
          <w:b/>
          <w:bCs/>
          <w:color w:val="000000"/>
          <w:sz w:val="28"/>
          <w:szCs w:val="28"/>
          <w:highlight w:val="none"/>
        </w:rPr>
        <w:t>、</w:t>
      </w:r>
      <w:r>
        <w:rPr>
          <w:rFonts w:hint="eastAsia" w:ascii="宋体" w:hAnsi="宋体"/>
          <w:b/>
          <w:bCs/>
          <w:color w:val="000000"/>
          <w:sz w:val="28"/>
          <w:szCs w:val="28"/>
          <w:highlight w:val="none"/>
          <w:lang w:val="en-US" w:eastAsia="zh-CN"/>
        </w:rPr>
        <w:t>评分细则</w:t>
      </w:r>
    </w:p>
    <w:p>
      <w:pPr>
        <w:spacing w:line="360" w:lineRule="auto"/>
        <w:ind w:firstLine="457" w:firstLineChars="196"/>
        <w:rPr>
          <w:rStyle w:val="20"/>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bCs/>
          <w:spacing w:val="-4"/>
          <w:sz w:val="24"/>
          <w:szCs w:val="24"/>
          <w:highlight w:val="none"/>
        </w:rPr>
        <w:t>1、商务技术分（0-</w:t>
      </w:r>
      <w:r>
        <w:rPr>
          <w:rFonts w:hint="eastAsia" w:asciiTheme="minorEastAsia" w:hAnsiTheme="minorEastAsia" w:eastAsiaTheme="minorEastAsia" w:cstheme="minorEastAsia"/>
          <w:b/>
          <w:bCs/>
          <w:spacing w:val="-4"/>
          <w:sz w:val="24"/>
          <w:szCs w:val="24"/>
          <w:highlight w:val="none"/>
          <w:lang w:val="en-US" w:eastAsia="zh-CN"/>
        </w:rPr>
        <w:t>70</w:t>
      </w:r>
      <w:r>
        <w:rPr>
          <w:rFonts w:hint="eastAsia" w:asciiTheme="minorEastAsia" w:hAnsiTheme="minorEastAsia" w:eastAsiaTheme="minorEastAsia" w:cstheme="minorEastAsia"/>
          <w:b/>
          <w:bCs/>
          <w:spacing w:val="-4"/>
          <w:sz w:val="24"/>
          <w:szCs w:val="24"/>
          <w:highlight w:val="none"/>
        </w:rPr>
        <w:t>分）</w:t>
      </w:r>
    </w:p>
    <w:tbl>
      <w:tblPr>
        <w:tblStyle w:val="17"/>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311"/>
        <w:gridCol w:w="7104"/>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0" w:type="dxa"/>
            <w:noWrap w:val="0"/>
            <w:vAlign w:val="center"/>
          </w:tcPr>
          <w:p>
            <w:p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序号</w:t>
            </w:r>
          </w:p>
        </w:tc>
        <w:tc>
          <w:tcPr>
            <w:tcW w:w="1311" w:type="dxa"/>
            <w:noWrap w:val="0"/>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评分项目</w:t>
            </w:r>
          </w:p>
        </w:tc>
        <w:tc>
          <w:tcPr>
            <w:tcW w:w="7104" w:type="dxa"/>
            <w:noWrap w:val="0"/>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 分 细 则</w:t>
            </w:r>
          </w:p>
        </w:tc>
        <w:tc>
          <w:tcPr>
            <w:tcW w:w="791" w:type="dxa"/>
            <w:noWrap w:val="0"/>
            <w:vAlign w:val="center"/>
          </w:tcPr>
          <w:p>
            <w:pPr>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jc w:val="center"/>
        </w:trPr>
        <w:tc>
          <w:tcPr>
            <w:tcW w:w="690"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1</w:t>
            </w:r>
          </w:p>
        </w:tc>
        <w:tc>
          <w:tcPr>
            <w:tcW w:w="1311" w:type="dxa"/>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修理点距离</w:t>
            </w:r>
          </w:p>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分）</w:t>
            </w:r>
          </w:p>
        </w:tc>
        <w:tc>
          <w:tcPr>
            <w:tcW w:w="7104" w:type="dxa"/>
            <w:noWrap w:val="0"/>
            <w:vAlign w:val="center"/>
          </w:tcPr>
          <w:p>
            <w:pPr>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lang w:val="en-US" w:eastAsia="zh-CN"/>
              </w:rPr>
              <w:t>综合修理地</w:t>
            </w:r>
            <w:r>
              <w:rPr>
                <w:rFonts w:hint="eastAsia" w:ascii="宋体" w:hAnsi="宋体" w:eastAsia="宋体" w:cs="宋体"/>
                <w:sz w:val="21"/>
                <w:szCs w:val="21"/>
                <w:highlight w:val="none"/>
              </w:rPr>
              <w:t>点距离温州市中医院（六虹桥</w:t>
            </w:r>
            <w:r>
              <w:rPr>
                <w:rFonts w:hint="eastAsia" w:ascii="宋体" w:hAnsi="宋体" w:eastAsia="宋体" w:cs="宋体"/>
                <w:sz w:val="21"/>
                <w:szCs w:val="21"/>
                <w:highlight w:val="none"/>
                <w:lang w:val="en-US" w:eastAsia="zh-CN"/>
              </w:rPr>
              <w:t>新</w:t>
            </w:r>
            <w:r>
              <w:rPr>
                <w:rFonts w:hint="eastAsia" w:ascii="宋体" w:hAnsi="宋体" w:eastAsia="宋体" w:cs="宋体"/>
                <w:sz w:val="21"/>
                <w:szCs w:val="21"/>
                <w:highlight w:val="none"/>
              </w:rPr>
              <w:t>院区）在2.5公里（含）以内的得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超出距离范围的，</w:t>
            </w:r>
            <w:r>
              <w:rPr>
                <w:rFonts w:hint="eastAsia" w:ascii="宋体" w:hAnsi="宋体" w:eastAsia="宋体" w:cs="宋体"/>
                <w:sz w:val="21"/>
                <w:szCs w:val="21"/>
                <w:highlight w:val="none"/>
              </w:rPr>
              <w:t>每多</w:t>
            </w:r>
            <w:r>
              <w:rPr>
                <w:rFonts w:hint="eastAsia" w:ascii="宋体" w:hAnsi="宋体" w:eastAsia="宋体" w:cs="宋体"/>
                <w:sz w:val="21"/>
                <w:szCs w:val="21"/>
                <w:highlight w:val="none"/>
                <w:lang w:val="en-US" w:eastAsia="zh-CN"/>
              </w:rPr>
              <w:t>0.</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公里</w:t>
            </w:r>
            <w:r>
              <w:rPr>
                <w:rFonts w:hint="eastAsia" w:ascii="宋体" w:hAnsi="宋体" w:eastAsia="宋体" w:cs="宋体"/>
                <w:sz w:val="21"/>
                <w:szCs w:val="21"/>
                <w:highlight w:val="none"/>
              </w:rPr>
              <w:t>减1分，直至减至0分为止</w:t>
            </w:r>
            <w:r>
              <w:rPr>
                <w:rFonts w:hint="eastAsia" w:ascii="宋体" w:hAnsi="宋体" w:eastAsia="宋体" w:cs="宋体"/>
                <w:sz w:val="21"/>
                <w:szCs w:val="21"/>
                <w:highlight w:val="none"/>
                <w:lang w:eastAsia="zh-CN"/>
              </w:rPr>
              <w:t>。</w:t>
            </w:r>
          </w:p>
          <w:p>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判断依据：</w:t>
            </w:r>
          </w:p>
          <w:p>
            <w:pPr>
              <w:numPr>
                <w:ilvl w:val="0"/>
                <w:numId w:val="5"/>
              </w:num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以手机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高德地图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APP显示数据为准</w:t>
            </w:r>
            <w:r>
              <w:rPr>
                <w:rFonts w:hint="eastAsia" w:ascii="宋体" w:hAnsi="宋体" w:eastAsia="宋体" w:cs="宋体"/>
                <w:sz w:val="21"/>
                <w:szCs w:val="21"/>
                <w:highlight w:val="none"/>
                <w:lang w:eastAsia="zh-CN"/>
              </w:rPr>
              <w:t>；</w:t>
            </w:r>
          </w:p>
          <w:p>
            <w:pPr>
              <w:numPr>
                <w:ilvl w:val="0"/>
                <w:numId w:val="5"/>
              </w:numPr>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选择“高德地图”APP中的“驾车”模式；</w:t>
            </w:r>
          </w:p>
          <w:p>
            <w:pPr>
              <w:numPr>
                <w:ilvl w:val="0"/>
                <w:numId w:val="5"/>
              </w:numPr>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设置起点为：温州市中医院（六虹桥新院区），设置终点为：具体修理点名称；</w:t>
            </w:r>
          </w:p>
          <w:p>
            <w:pPr>
              <w:numPr>
                <w:ilvl w:val="0"/>
                <w:numId w:val="5"/>
              </w:numPr>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通过以上规则设置后，以APP</w:t>
            </w:r>
            <w:r>
              <w:rPr>
                <w:rFonts w:hint="eastAsia" w:ascii="宋体" w:hAnsi="宋体" w:eastAsia="宋体" w:cs="宋体"/>
                <w:sz w:val="21"/>
                <w:szCs w:val="21"/>
                <w:highlight w:val="none"/>
              </w:rPr>
              <w:t>最短距离显示数据为准，</w:t>
            </w:r>
            <w:r>
              <w:rPr>
                <w:rFonts w:hint="eastAsia" w:ascii="宋体" w:hAnsi="宋体" w:eastAsia="宋体" w:cs="宋体"/>
                <w:sz w:val="21"/>
                <w:szCs w:val="21"/>
                <w:highlight w:val="none"/>
                <w:lang w:val="en-US" w:eastAsia="zh-CN"/>
              </w:rPr>
              <w:t>需</w:t>
            </w:r>
            <w:r>
              <w:rPr>
                <w:rFonts w:hint="eastAsia" w:ascii="宋体" w:hAnsi="宋体" w:eastAsia="宋体" w:cs="宋体"/>
                <w:sz w:val="21"/>
                <w:szCs w:val="21"/>
                <w:highlight w:val="none"/>
              </w:rPr>
              <w:t>提供手机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高德地图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APP</w:t>
            </w:r>
            <w:r>
              <w:rPr>
                <w:rFonts w:hint="eastAsia" w:ascii="宋体" w:hAnsi="宋体" w:eastAsia="宋体" w:cs="宋体"/>
                <w:sz w:val="21"/>
                <w:szCs w:val="21"/>
                <w:highlight w:val="none"/>
                <w:lang w:val="en-US" w:eastAsia="zh-CN"/>
              </w:rPr>
              <w:t>显示数据</w:t>
            </w:r>
            <w:r>
              <w:rPr>
                <w:rFonts w:hint="eastAsia" w:ascii="宋体" w:hAnsi="宋体" w:eastAsia="宋体" w:cs="宋体"/>
                <w:sz w:val="21"/>
                <w:szCs w:val="21"/>
                <w:highlight w:val="none"/>
              </w:rPr>
              <w:t>截图，</w:t>
            </w:r>
            <w:r>
              <w:rPr>
                <w:rFonts w:hint="eastAsia" w:ascii="宋体" w:hAnsi="宋体" w:eastAsia="宋体" w:cs="宋体"/>
                <w:sz w:val="21"/>
                <w:szCs w:val="21"/>
                <w:highlight w:val="none"/>
                <w:lang w:val="en-US" w:eastAsia="zh-CN"/>
              </w:rPr>
              <w:t>未提供截图或未按照以上规则设置显示的数据</w:t>
            </w:r>
            <w:r>
              <w:rPr>
                <w:rFonts w:hint="eastAsia" w:ascii="宋体" w:hAnsi="宋体" w:eastAsia="宋体" w:cs="宋体"/>
                <w:sz w:val="21"/>
                <w:szCs w:val="21"/>
                <w:highlight w:val="none"/>
              </w:rPr>
              <w:t>不得分）</w:t>
            </w:r>
            <w:r>
              <w:rPr>
                <w:rFonts w:hint="eastAsia" w:ascii="宋体" w:hAnsi="宋体" w:eastAsia="宋体" w:cs="宋体"/>
                <w:sz w:val="21"/>
                <w:szCs w:val="21"/>
                <w:highlight w:val="none"/>
                <w:lang w:eastAsia="zh-CN"/>
              </w:rPr>
              <w:t>。</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690" w:type="dxa"/>
            <w:vMerge w:val="restart"/>
            <w:noWrap w:val="0"/>
            <w:vAlign w:val="center"/>
          </w:tcPr>
          <w:p>
            <w:pPr>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2</w:t>
            </w:r>
          </w:p>
        </w:tc>
        <w:tc>
          <w:tcPr>
            <w:tcW w:w="1311" w:type="dxa"/>
            <w:vMerge w:val="restart"/>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场地设施（</w:t>
            </w:r>
            <w:r>
              <w:rPr>
                <w:rFonts w:hint="eastAsia" w:ascii="宋体" w:hAnsi="宋体" w:eastAsia="宋体" w:cs="宋体"/>
                <w:sz w:val="21"/>
                <w:szCs w:val="21"/>
                <w:highlight w:val="none"/>
                <w:lang w:val="en-US" w:eastAsia="zh-CN"/>
              </w:rPr>
              <w:t>21</w:t>
            </w:r>
            <w:r>
              <w:rPr>
                <w:rFonts w:hint="eastAsia" w:ascii="宋体" w:hAnsi="宋体" w:eastAsia="宋体" w:cs="宋体"/>
                <w:sz w:val="21"/>
                <w:szCs w:val="21"/>
                <w:highlight w:val="none"/>
              </w:rPr>
              <w:t>分）</w:t>
            </w:r>
          </w:p>
        </w:tc>
        <w:tc>
          <w:tcPr>
            <w:tcW w:w="7104"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维修车间面积（标准结构的维修车间，不含露天区域）≥1000M²的得2分，需提供平面尺寸图，否则不得分。</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维修车间内具备机修工位数10个（含）以上得5分，每少1个机修工位减0.5分，直至减至0分为止；需提供平面图或相关佐证，否则不得分。</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noWrap w:val="0"/>
            <w:vAlign w:val="center"/>
          </w:tcPr>
          <w:p>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具备</w:t>
            </w:r>
            <w:r>
              <w:rPr>
                <w:rFonts w:hint="eastAsia" w:ascii="宋体" w:hAnsi="宋体" w:eastAsia="宋体" w:cs="宋体"/>
                <w:sz w:val="21"/>
                <w:szCs w:val="21"/>
                <w:highlight w:val="none"/>
              </w:rPr>
              <w:t>客户接待休息室的得2分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需</w:t>
            </w:r>
            <w:r>
              <w:rPr>
                <w:rFonts w:hint="eastAsia" w:ascii="宋体" w:hAnsi="宋体" w:eastAsia="宋体" w:cs="宋体"/>
                <w:sz w:val="21"/>
                <w:szCs w:val="21"/>
                <w:highlight w:val="none"/>
              </w:rPr>
              <w:t>附经营场所一览表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彩照</w:t>
            </w:r>
            <w:r>
              <w:rPr>
                <w:rFonts w:hint="eastAsia" w:ascii="宋体" w:hAnsi="宋体" w:eastAsia="宋体" w:cs="宋体"/>
                <w:sz w:val="21"/>
                <w:szCs w:val="21"/>
                <w:highlight w:val="none"/>
                <w:lang w:val="en-US" w:eastAsia="zh-CN"/>
              </w:rPr>
              <w:t>及</w:t>
            </w:r>
            <w:r>
              <w:rPr>
                <w:rFonts w:hint="eastAsia" w:ascii="宋体" w:hAnsi="宋体" w:eastAsia="宋体" w:cs="宋体"/>
                <w:sz w:val="21"/>
                <w:szCs w:val="21"/>
                <w:highlight w:val="none"/>
              </w:rPr>
              <w:t>平面图，</w:t>
            </w:r>
            <w:r>
              <w:rPr>
                <w:rFonts w:hint="eastAsia" w:ascii="宋体" w:hAnsi="宋体" w:eastAsia="宋体" w:cs="宋体"/>
                <w:sz w:val="21"/>
                <w:szCs w:val="21"/>
                <w:highlight w:val="none"/>
                <w:lang w:val="en-US" w:eastAsia="zh-CN"/>
              </w:rPr>
              <w:t>缺一不予认可得分</w:t>
            </w:r>
            <w:r>
              <w:rPr>
                <w:rFonts w:hint="eastAsia" w:ascii="宋体" w:hAnsi="宋体" w:eastAsia="宋体" w:cs="宋体"/>
                <w:sz w:val="21"/>
                <w:szCs w:val="21"/>
                <w:highlight w:val="none"/>
              </w:rPr>
              <w:t>。</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具备配件库</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得2分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需</w:t>
            </w:r>
            <w:r>
              <w:rPr>
                <w:rFonts w:hint="eastAsia" w:ascii="宋体" w:hAnsi="宋体" w:eastAsia="宋体" w:cs="宋体"/>
                <w:sz w:val="21"/>
                <w:szCs w:val="21"/>
                <w:highlight w:val="none"/>
              </w:rPr>
              <w:t>提供配件库平面图</w:t>
            </w:r>
            <w:r>
              <w:rPr>
                <w:rFonts w:hint="eastAsia" w:ascii="宋体" w:hAnsi="宋体" w:eastAsia="宋体" w:cs="宋体"/>
                <w:sz w:val="21"/>
                <w:szCs w:val="21"/>
                <w:highlight w:val="none"/>
                <w:lang w:val="en-US" w:eastAsia="zh-CN"/>
              </w:rPr>
              <w:t>及</w:t>
            </w:r>
            <w:r>
              <w:rPr>
                <w:rFonts w:hint="eastAsia" w:ascii="宋体" w:hAnsi="宋体" w:eastAsia="宋体" w:cs="宋体"/>
                <w:sz w:val="21"/>
                <w:szCs w:val="21"/>
                <w:highlight w:val="none"/>
              </w:rPr>
              <w:t>实景图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缺一不予认可得分。</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6"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配备有如下设备且提供材料完善的：（共10分）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1、电控系统检测设备（1分）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2、电喷燃油系统清洗设备（1分）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3、发动机检测仪（1分）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4、新能源落地式充电桩（1分）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5、悬架装置检测台（1分）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发动机净化</w:t>
            </w:r>
            <w:r>
              <w:rPr>
                <w:rFonts w:hint="eastAsia" w:ascii="宋体" w:hAnsi="宋体" w:eastAsia="宋体" w:cs="宋体"/>
                <w:sz w:val="21"/>
                <w:szCs w:val="21"/>
                <w:highlight w:val="none"/>
              </w:rPr>
              <w:t>设备（1分）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7、电脑诊断仪（1分）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8、尾气分析仪（1分）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9、举升机（1分）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10、烤漆房（1分）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（每样设备需提供发票</w:t>
            </w:r>
            <w:r>
              <w:rPr>
                <w:rFonts w:hint="eastAsia" w:ascii="宋体" w:hAnsi="宋体" w:eastAsia="宋体" w:cs="宋体"/>
                <w:sz w:val="21"/>
                <w:szCs w:val="21"/>
                <w:highlight w:val="none"/>
                <w:lang w:val="en-US" w:eastAsia="zh-CN"/>
              </w:rPr>
              <w:t>复印件</w:t>
            </w:r>
            <w:r>
              <w:rPr>
                <w:rFonts w:hint="eastAsia" w:ascii="宋体" w:hAnsi="宋体" w:eastAsia="宋体" w:cs="宋体"/>
                <w:sz w:val="21"/>
                <w:szCs w:val="21"/>
                <w:highlight w:val="none"/>
              </w:rPr>
              <w:t>或</w:t>
            </w:r>
            <w:r>
              <w:rPr>
                <w:rFonts w:hint="eastAsia" w:ascii="宋体" w:hAnsi="宋体" w:eastAsia="宋体" w:cs="宋体"/>
                <w:sz w:val="21"/>
                <w:szCs w:val="21"/>
                <w:highlight w:val="none"/>
                <w:lang w:val="en-US" w:eastAsia="zh-CN"/>
              </w:rPr>
              <w:t>采购合同复印件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并加盖公章，</w:t>
            </w:r>
            <w:r>
              <w:rPr>
                <w:rFonts w:hint="eastAsia" w:ascii="宋体" w:hAnsi="宋体" w:eastAsia="宋体" w:cs="宋体"/>
                <w:sz w:val="21"/>
                <w:szCs w:val="21"/>
                <w:highlight w:val="none"/>
              </w:rPr>
              <w:t>否则不得分）</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1" w:hRule="atLeast"/>
          <w:jc w:val="center"/>
        </w:trPr>
        <w:tc>
          <w:tcPr>
            <w:tcW w:w="690" w:type="dxa"/>
            <w:vMerge w:val="restart"/>
            <w:noWrap w:val="0"/>
            <w:vAlign w:val="center"/>
          </w:tcPr>
          <w:p>
            <w:pPr>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3</w:t>
            </w:r>
          </w:p>
        </w:tc>
        <w:tc>
          <w:tcPr>
            <w:tcW w:w="1311" w:type="dxa"/>
            <w:vMerge w:val="restart"/>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技术力量（10分）</w:t>
            </w:r>
          </w:p>
        </w:tc>
        <w:tc>
          <w:tcPr>
            <w:tcW w:w="7104"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配备技术负责人的得2分。 </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注：技术负责人须同时满足以下条件，并提供完整证明材料，否则不予认可得分：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（1）工作经验：具有3年及以上汽车维修相关工作经历（需提供工作履历证明或原单位工作证明，加盖投标人公章）；</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（2）职称或技能等级（满足以下任意一项即可）：</w:t>
            </w:r>
            <w:r>
              <w:rPr>
                <w:rFonts w:hint="eastAsia" w:ascii="宋体" w:hAnsi="宋体" w:eastAsia="宋体" w:cs="宋体"/>
                <w:color w:val="auto"/>
                <w:sz w:val="21"/>
                <w:szCs w:val="21"/>
                <w:highlight w:val="none"/>
              </w:rPr>
              <w:br w:type="textWrapping"/>
            </w:r>
            <w:r>
              <w:rPr>
                <w:rFonts w:hint="default" w:ascii="Calibri" w:hAnsi="Calibri" w:eastAsia="宋体" w:cs="Calibri"/>
                <w:color w:val="auto"/>
                <w:sz w:val="21"/>
                <w:szCs w:val="21"/>
                <w:highlight w:val="none"/>
              </w:rPr>
              <w:t>①</w:t>
            </w:r>
            <w:r>
              <w:rPr>
                <w:rFonts w:hint="eastAsia" w:ascii="宋体" w:hAnsi="宋体" w:eastAsia="宋体" w:cs="宋体"/>
                <w:color w:val="auto"/>
                <w:sz w:val="21"/>
                <w:szCs w:val="21"/>
                <w:highlight w:val="none"/>
              </w:rPr>
              <w:t xml:space="preserve"> 持有交通运输部门颁发的汽车维修工程师或助理工程师职称证书；</w:t>
            </w:r>
            <w:r>
              <w:rPr>
                <w:rFonts w:hint="eastAsia" w:ascii="宋体" w:hAnsi="宋体" w:eastAsia="宋体" w:cs="宋体"/>
                <w:color w:val="auto"/>
                <w:sz w:val="21"/>
                <w:szCs w:val="21"/>
                <w:highlight w:val="none"/>
              </w:rPr>
              <w:br w:type="textWrapping"/>
            </w:r>
            <w:r>
              <w:rPr>
                <w:rFonts w:hint="default" w:ascii="Calibri" w:hAnsi="Calibri" w:eastAsia="宋体" w:cs="Calibri"/>
                <w:color w:val="auto"/>
                <w:sz w:val="21"/>
                <w:szCs w:val="21"/>
                <w:highlight w:val="none"/>
              </w:rPr>
              <w:t>②</w:t>
            </w:r>
            <w:r>
              <w:rPr>
                <w:rFonts w:hint="eastAsia" w:ascii="宋体" w:hAnsi="宋体" w:eastAsia="宋体" w:cs="宋体"/>
                <w:color w:val="auto"/>
                <w:sz w:val="21"/>
                <w:szCs w:val="21"/>
                <w:highlight w:val="none"/>
              </w:rPr>
              <w:t xml:space="preserve"> 持有高级技师或技师职业资格证书（须提供证书复印件并加盖投标人公章）；</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）同一人在本项目仅能担任一个岗位：技术负责人不得同时担任本项目的质量检验员或其他关键岗位人员，如发现重复任职，该项不得分。</w:t>
            </w:r>
          </w:p>
          <w:p>
            <w:pPr>
              <w:rPr>
                <w:rFonts w:hint="eastAsia" w:ascii="宋体" w:hAnsi="宋体" w:cs="宋体"/>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须提供技术负责人的</w:t>
            </w:r>
            <w:r>
              <w:rPr>
                <w:rFonts w:hint="eastAsia" w:ascii="宋体" w:hAnsi="宋体" w:eastAsia="宋体" w:cs="宋体"/>
                <w:color w:val="auto"/>
                <w:sz w:val="21"/>
                <w:szCs w:val="21"/>
                <w:highlight w:val="none"/>
              </w:rPr>
              <w:t>身份证复印件、劳动合同复印件和</w:t>
            </w:r>
            <w:r>
              <w:rPr>
                <w:rFonts w:hint="eastAsia" w:ascii="宋体" w:hAnsi="宋体" w:eastAsia="宋体" w:cs="宋体"/>
                <w:color w:val="auto"/>
                <w:sz w:val="21"/>
                <w:szCs w:val="21"/>
                <w:highlight w:val="none"/>
                <w:lang w:val="en-US" w:eastAsia="zh-CN"/>
              </w:rPr>
              <w:t>近三个月任意</w:t>
            </w:r>
            <w:r>
              <w:rPr>
                <w:rFonts w:hint="eastAsia" w:ascii="宋体" w:hAnsi="宋体" w:cs="宋体"/>
                <w:color w:val="auto"/>
                <w:sz w:val="21"/>
                <w:szCs w:val="21"/>
                <w:highlight w:val="none"/>
                <w:lang w:val="en-US" w:eastAsia="zh-CN"/>
              </w:rPr>
              <w:t>一个月</w:t>
            </w:r>
            <w:r>
              <w:rPr>
                <w:rFonts w:hint="eastAsia" w:ascii="宋体" w:hAnsi="宋体" w:eastAsia="宋体" w:cs="宋体"/>
                <w:sz w:val="21"/>
                <w:szCs w:val="21"/>
                <w:highlight w:val="none"/>
              </w:rPr>
              <w:t>投标人为其缴纳社保证明复印件，缺一不予认可</w:t>
            </w:r>
            <w:r>
              <w:rPr>
                <w:rFonts w:hint="eastAsia" w:ascii="宋体" w:hAnsi="宋体" w:eastAsia="宋体" w:cs="宋体"/>
                <w:sz w:val="21"/>
                <w:szCs w:val="21"/>
                <w:highlight w:val="none"/>
                <w:lang w:val="en-US" w:eastAsia="zh-CN"/>
              </w:rPr>
              <w:t>得分。</w:t>
            </w:r>
            <w:r>
              <w:rPr>
                <w:rFonts w:hint="eastAsia" w:ascii="宋体" w:hAnsi="宋体" w:cs="宋体"/>
                <w:sz w:val="21"/>
                <w:szCs w:val="21"/>
                <w:highlight w:val="none"/>
                <w:lang w:val="en-US" w:eastAsia="zh-CN"/>
              </w:rPr>
              <w:t>）</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配备质量检验员的得2分。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（注：须提供资格证书、身份证复印件、劳动合同复印件和</w:t>
            </w:r>
            <w:r>
              <w:rPr>
                <w:rFonts w:hint="eastAsia" w:ascii="宋体" w:hAnsi="宋体" w:cs="宋体"/>
                <w:color w:val="auto"/>
                <w:sz w:val="21"/>
                <w:szCs w:val="21"/>
                <w:highlight w:val="none"/>
                <w:lang w:val="en-US" w:eastAsia="zh-CN"/>
              </w:rPr>
              <w:t>近三个月任意一个月</w:t>
            </w:r>
            <w:r>
              <w:rPr>
                <w:rFonts w:hint="eastAsia" w:ascii="宋体" w:hAnsi="宋体" w:eastAsia="宋体" w:cs="宋体"/>
                <w:color w:val="auto"/>
                <w:sz w:val="21"/>
                <w:szCs w:val="21"/>
                <w:highlight w:val="none"/>
              </w:rPr>
              <w:t>投标人为其缴纳社保证明复印件，缺一不予认可得分）</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配备机修、电器、钣金、涂漆等关键岗位技术人员，有技术人员10名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以上得2分，每少1名技术人员减0.2分，直至减至0分为止。</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具有汽车维修技师职称的得2分。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具有汽车维修高级技师职称的得2分。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共</w:t>
            </w:r>
            <w:r>
              <w:rPr>
                <w:rFonts w:hint="eastAsia" w:ascii="宋体" w:hAnsi="宋体" w:eastAsia="宋体" w:cs="宋体"/>
                <w:color w:val="auto"/>
                <w:sz w:val="21"/>
                <w:szCs w:val="21"/>
                <w:highlight w:val="none"/>
              </w:rPr>
              <w:t>6分）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（注：提供相关职称证书复印件、身份证复印件、劳动合同复印件和</w:t>
            </w:r>
            <w:r>
              <w:rPr>
                <w:rFonts w:hint="eastAsia" w:ascii="宋体" w:hAnsi="宋体" w:cs="宋体"/>
                <w:color w:val="auto"/>
                <w:sz w:val="21"/>
                <w:szCs w:val="21"/>
                <w:highlight w:val="none"/>
                <w:lang w:val="en-US" w:eastAsia="zh-CN"/>
              </w:rPr>
              <w:t>近三个月任意一个月</w:t>
            </w:r>
            <w:r>
              <w:rPr>
                <w:rFonts w:hint="eastAsia" w:ascii="宋体" w:hAnsi="宋体" w:eastAsia="宋体" w:cs="宋体"/>
                <w:color w:val="auto"/>
                <w:sz w:val="21"/>
                <w:szCs w:val="21"/>
                <w:highlight w:val="none"/>
              </w:rPr>
              <w:t>投标人为其缴纳社保证明复印件，缺一不予认可</w:t>
            </w:r>
            <w:r>
              <w:rPr>
                <w:rFonts w:hint="eastAsia" w:ascii="宋体" w:hAnsi="宋体" w:eastAsia="宋体" w:cs="宋体"/>
                <w:color w:val="auto"/>
                <w:sz w:val="21"/>
                <w:szCs w:val="21"/>
                <w:highlight w:val="none"/>
                <w:lang w:val="en-US" w:eastAsia="zh-CN"/>
              </w:rPr>
              <w:t>得分</w:t>
            </w:r>
            <w:r>
              <w:rPr>
                <w:rFonts w:hint="eastAsia" w:ascii="宋体" w:hAnsi="宋体" w:eastAsia="宋体" w:cs="宋体"/>
                <w:color w:val="auto"/>
                <w:sz w:val="21"/>
                <w:szCs w:val="21"/>
                <w:highlight w:val="none"/>
              </w:rPr>
              <w:t>）</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690" w:type="dxa"/>
            <w:vMerge w:val="restart"/>
            <w:noWrap w:val="0"/>
            <w:vAlign w:val="center"/>
          </w:tcPr>
          <w:p>
            <w:pPr>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4</w:t>
            </w:r>
          </w:p>
        </w:tc>
        <w:tc>
          <w:tcPr>
            <w:tcW w:w="1311" w:type="dxa"/>
            <w:vMerge w:val="restart"/>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服务能力</w:t>
            </w:r>
          </w:p>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分）</w:t>
            </w:r>
          </w:p>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注：涉及相关承诺的，需投标人在投标资料中体现，并加盖公章，否则不得分。</w:t>
            </w:r>
          </w:p>
        </w:tc>
        <w:tc>
          <w:tcPr>
            <w:tcW w:w="7104"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配备交通管理部门登记在册的专业牵引车的，得1分。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（注：以投标人提供的车辆图片和车辆行驶证复印件为准，车辆行驶证记载的车主信息应与投标人单位名称</w:t>
            </w:r>
            <w:r>
              <w:rPr>
                <w:rFonts w:hint="eastAsia" w:ascii="宋体" w:hAnsi="宋体" w:eastAsia="宋体" w:cs="宋体"/>
                <w:color w:val="auto"/>
                <w:sz w:val="21"/>
                <w:szCs w:val="21"/>
                <w:highlight w:val="none"/>
                <w:lang w:val="en-US" w:eastAsia="zh-CN"/>
              </w:rPr>
              <w:t>或单位法人代表名称</w:t>
            </w:r>
            <w:r>
              <w:rPr>
                <w:rFonts w:hint="eastAsia" w:ascii="宋体" w:hAnsi="宋体" w:eastAsia="宋体" w:cs="宋体"/>
                <w:color w:val="auto"/>
                <w:sz w:val="21"/>
                <w:szCs w:val="21"/>
                <w:highlight w:val="none"/>
              </w:rPr>
              <w:t>一致，否则不予认可）</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配备紧急救援服务专用车的，得1分。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（注：以投标人提供的车辆图片和车辆行驶证复印件为准，车辆行驶证记载的车主信息应与投标人单位名称或单位法人代表名称一致，否则不予认可）</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提供救援服务方案及市内到达现场时限。根据投标人提供的救援服务方案和市内到达现场时限情况进行比较评定，A档：2分，B档：1分，C档：0分</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noWrap w:val="0"/>
            <w:vAlign w:val="center"/>
          </w:tcPr>
          <w:p>
            <w:pPr>
              <w:jc w:val="left"/>
              <w:rPr>
                <w:rFonts w:hint="eastAsia" w:ascii="宋体" w:hAnsi="宋体" w:eastAsia="宋体" w:cs="宋体"/>
                <w:color w:val="auto"/>
                <w:sz w:val="21"/>
                <w:szCs w:val="21"/>
                <w:highlight w:val="none"/>
              </w:rPr>
            </w:pPr>
            <w:bookmarkStart w:id="2" w:name="OLE_LINK2"/>
            <w:r>
              <w:rPr>
                <w:rFonts w:hint="eastAsia" w:ascii="宋体" w:hAnsi="宋体" w:eastAsia="宋体" w:cs="宋体"/>
                <w:color w:val="auto"/>
                <w:sz w:val="21"/>
                <w:szCs w:val="21"/>
                <w:highlight w:val="none"/>
              </w:rPr>
              <w:t>根据投标人承诺的车辆维修、保养完成时限进行比较评定（该时限不得超过</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二、采购需求与服务要求”</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时限）</w:t>
            </w:r>
            <w:bookmarkEnd w:id="2"/>
            <w:r>
              <w:rPr>
                <w:rFonts w:hint="eastAsia" w:ascii="宋体" w:hAnsi="宋体" w:eastAsia="宋体" w:cs="宋体"/>
                <w:color w:val="auto"/>
                <w:sz w:val="21"/>
                <w:szCs w:val="21"/>
                <w:highlight w:val="none"/>
              </w:rPr>
              <w:t>。</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分，B档：1分，C档：0分</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根据投标人承诺的零配件（除易损件外）质量保证期情况进行比较评定。A档：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分，B档：1分，C档：0分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注：该项根据《常用维修工时费标准》表中承诺的质保期进行评定；表中零配件（除易损件外）质保期标准建议不少于20000公里或1年。</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rPr>
              <w:t>维修车辆提供免费清洁、吸尘等服务情况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noWrap w:val="0"/>
            <w:vAlign w:val="center"/>
          </w:tcPr>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承诺遇有紧急情况时，提供伴随修理和昼夜修理服务得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分，否则不得分</w:t>
            </w:r>
            <w:r>
              <w:rPr>
                <w:rFonts w:hint="eastAsia" w:ascii="宋体" w:hAnsi="宋体" w:eastAsia="宋体" w:cs="宋体"/>
                <w:color w:val="auto"/>
                <w:sz w:val="21"/>
                <w:szCs w:val="21"/>
                <w:highlight w:val="none"/>
                <w:lang w:eastAsia="zh-CN"/>
              </w:rPr>
              <w:t>。</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90" w:type="dxa"/>
            <w:vMerge w:val="restart"/>
            <w:noWrap w:val="0"/>
            <w:vAlign w:val="center"/>
          </w:tcPr>
          <w:p>
            <w:pPr>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5</w:t>
            </w:r>
          </w:p>
        </w:tc>
        <w:tc>
          <w:tcPr>
            <w:tcW w:w="1311" w:type="dxa"/>
            <w:vMerge w:val="restart"/>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w:t>
            </w:r>
            <w:r>
              <w:rPr>
                <w:rFonts w:hint="eastAsia" w:ascii="宋体" w:hAnsi="宋体" w:cs="宋体"/>
                <w:sz w:val="21"/>
                <w:szCs w:val="21"/>
                <w:highlight w:val="none"/>
                <w:lang w:val="en-US" w:eastAsia="zh-CN"/>
              </w:rPr>
              <w:t>综合实力</w:t>
            </w:r>
          </w:p>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分）</w:t>
            </w:r>
          </w:p>
        </w:tc>
        <w:tc>
          <w:tcPr>
            <w:tcW w:w="7104"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投标人已通过ISO 9001质量管理体系认证且在有效期内的，得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分（提供有效证书复印件，否则不得分）。</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tcBorders>
              <w:top w:val="single" w:color="auto" w:sz="4" w:space="0"/>
              <w:bottom w:val="single" w:color="auto" w:sz="4" w:space="0"/>
              <w:right w:val="single" w:color="auto" w:sz="4" w:space="0"/>
            </w:tcBorders>
            <w:noWrap w:val="0"/>
            <w:vAlign w:val="center"/>
          </w:tcPr>
          <w:p>
            <w:pPr>
              <w:numPr>
                <w:ilvl w:val="0"/>
                <w:numId w:val="0"/>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行业服务质量信誉等级（2分）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投标人具有交通运输部门颁发的机动车维修企业质量信誉等级，</w:t>
            </w:r>
          </w:p>
          <w:p>
            <w:pPr>
              <w:numPr>
                <w:numId w:val="0"/>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且等级为AA级（含）以上的，得2分；</w:t>
            </w:r>
          </w:p>
          <w:p>
            <w:pPr>
              <w:numPr>
                <w:numId w:val="0"/>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A级的得1分；</w:t>
            </w:r>
          </w:p>
          <w:p>
            <w:pPr>
              <w:numPr>
                <w:numId w:val="0"/>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无等级或B级及以下的得0分。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（注：须提供有效期内的证明文件或主管部门官网截图并加盖公章，否则不得分）</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tcBorders>
              <w:top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人员稳定性与保障能力（3分）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根据投标人2025年度缴纳社保的员工总人数由高到低排名，第一名得3分，其余依次递减0.3分，直至减至0分为止。</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（注：需</w:t>
            </w:r>
            <w:r>
              <w:rPr>
                <w:rFonts w:hint="eastAsia" w:ascii="宋体" w:hAnsi="宋体" w:eastAsia="宋体" w:cs="宋体"/>
                <w:color w:val="auto"/>
                <w:sz w:val="21"/>
                <w:szCs w:val="21"/>
                <w:highlight w:val="none"/>
                <w:lang w:val="en-US" w:eastAsia="zh-CN"/>
              </w:rPr>
              <w:t>提供近三个月任意一个月</w:t>
            </w:r>
            <w:r>
              <w:rPr>
                <w:rFonts w:hint="eastAsia" w:ascii="宋体" w:hAnsi="宋体" w:eastAsia="宋体" w:cs="宋体"/>
                <w:color w:val="auto"/>
                <w:sz w:val="21"/>
                <w:szCs w:val="21"/>
                <w:highlight w:val="none"/>
              </w:rPr>
              <w:t>投标人为其缴纳社保证明复印件并加盖公章，否则不得分）</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690"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6</w:t>
            </w:r>
          </w:p>
        </w:tc>
        <w:tc>
          <w:tcPr>
            <w:tcW w:w="131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企业内控机制（维修业务内部管理体系）</w:t>
            </w:r>
          </w:p>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（8分）</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提供相关制度资料，酌情给分。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A档：</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分，B档：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分，C档：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0" w:type="dxa"/>
            <w:vMerge w:val="restart"/>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p>
        </w:tc>
        <w:tc>
          <w:tcPr>
            <w:tcW w:w="1311" w:type="dxa"/>
            <w:vMerge w:val="restart"/>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业绩</w:t>
            </w:r>
          </w:p>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（3分）</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年1月以来，医疗机构中标成交案例数，每提供1个得0.5分，最高1.5分</w:t>
            </w:r>
            <w:r>
              <w:rPr>
                <w:rFonts w:hint="eastAsia" w:ascii="宋体" w:hAnsi="宋体" w:eastAsia="宋体" w:cs="宋体"/>
                <w:color w:val="auto"/>
                <w:sz w:val="21"/>
                <w:szCs w:val="21"/>
                <w:highlight w:val="none"/>
                <w:lang w:eastAsia="zh-CN"/>
              </w:rPr>
              <w:t>。</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（注：需提供具体合同复印件或中标通知书复印件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加盖公章，否则不予认可）</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年1月以来，非医疗机构中标成交案例数，每提供1个得0.5分，最高1.5分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（注：需提供具体合同复印件或中标通知书复印件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加盖公章，否则不予认可）</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0" w:type="dxa"/>
            <w:tcBorders>
              <w:bottom w:val="single" w:color="auto" w:sz="4" w:space="0"/>
            </w:tcBorders>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p>
        </w:tc>
        <w:tc>
          <w:tcPr>
            <w:tcW w:w="1311" w:type="dxa"/>
            <w:tcBorders>
              <w:bottom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投标文件编制质量</w:t>
            </w:r>
          </w:p>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（2分）</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各</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投标文件编制质量横向比较</w:t>
            </w:r>
            <w:r>
              <w:rPr>
                <w:rFonts w:hint="eastAsia" w:ascii="宋体" w:hAnsi="宋体" w:eastAsia="宋体" w:cs="宋体"/>
                <w:color w:val="auto"/>
                <w:sz w:val="21"/>
                <w:szCs w:val="21"/>
                <w:highlight w:val="none"/>
                <w:lang w:eastAsia="zh-CN"/>
              </w:rPr>
              <w:t>。</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A档：2分，B档：1分，C档：0分</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2分</w:t>
            </w:r>
          </w:p>
        </w:tc>
      </w:tr>
    </w:tbl>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highlight w:val="none"/>
          <w:lang w:val="en-US" w:eastAsia="zh-CN"/>
        </w:rPr>
      </w:pPr>
    </w:p>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highlight w:val="none"/>
          <w:lang w:val="en-US" w:eastAsia="zh-CN"/>
        </w:rPr>
      </w:pPr>
    </w:p>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highlight w:val="none"/>
        </w:rPr>
      </w:pPr>
      <w:bookmarkStart w:id="3" w:name="_GoBack"/>
      <w:bookmarkEnd w:id="3"/>
      <w:r>
        <w:rPr>
          <w:rFonts w:hint="eastAsia" w:asciiTheme="minorEastAsia" w:hAnsiTheme="minorEastAsia" w:eastAsiaTheme="minorEastAsia" w:cstheme="minorEastAsia"/>
          <w:b/>
          <w:bCs/>
          <w:spacing w:val="-4"/>
          <w:sz w:val="24"/>
          <w:szCs w:val="24"/>
          <w:highlight w:val="none"/>
          <w:lang w:val="en-US" w:eastAsia="zh-CN"/>
        </w:rPr>
        <w:t>2、</w:t>
      </w:r>
      <w:r>
        <w:rPr>
          <w:rFonts w:hint="eastAsia" w:asciiTheme="minorEastAsia" w:hAnsiTheme="minorEastAsia" w:eastAsiaTheme="minorEastAsia" w:cstheme="minorEastAsia"/>
          <w:b/>
          <w:bCs/>
          <w:spacing w:val="-4"/>
          <w:sz w:val="24"/>
          <w:szCs w:val="24"/>
          <w:highlight w:val="none"/>
        </w:rPr>
        <w:t>价格分（0-</w:t>
      </w:r>
      <w:r>
        <w:rPr>
          <w:rFonts w:hint="eastAsia" w:asciiTheme="minorEastAsia" w:hAnsiTheme="minorEastAsia" w:eastAsiaTheme="minorEastAsia" w:cstheme="minorEastAsia"/>
          <w:b/>
          <w:bCs/>
          <w:spacing w:val="-4"/>
          <w:sz w:val="24"/>
          <w:szCs w:val="24"/>
          <w:highlight w:val="none"/>
          <w:lang w:val="en-US" w:eastAsia="zh-CN"/>
        </w:rPr>
        <w:t>30</w:t>
      </w:r>
      <w:r>
        <w:rPr>
          <w:rFonts w:hint="eastAsia" w:asciiTheme="minorEastAsia" w:hAnsiTheme="minorEastAsia" w:eastAsiaTheme="minorEastAsia" w:cstheme="minorEastAsia"/>
          <w:b/>
          <w:bCs/>
          <w:spacing w:val="-4"/>
          <w:sz w:val="24"/>
          <w:szCs w:val="24"/>
          <w:highlight w:val="none"/>
        </w:rPr>
        <w:t>分）</w:t>
      </w:r>
    </w:p>
    <w:p>
      <w:pPr>
        <w:numPr>
          <w:ilvl w:val="0"/>
          <w:numId w:val="0"/>
        </w:numPr>
        <w:spacing w:before="120" w:beforeLines="50" w:after="120" w:afterLines="50" w:line="360" w:lineRule="auto"/>
        <w:ind w:firstLine="464" w:firstLineChars="200"/>
        <w:jc w:val="both"/>
        <w:rPr>
          <w:rFonts w:hint="eastAsia" w:asciiTheme="minorEastAsia" w:hAnsiTheme="minorEastAsia" w:eastAsiaTheme="minorEastAsia" w:cstheme="minorEastAsia"/>
          <w:bCs/>
          <w:spacing w:val="-4"/>
          <w:sz w:val="24"/>
          <w:szCs w:val="24"/>
          <w:highlight w:val="none"/>
        </w:rPr>
      </w:pPr>
      <w:r>
        <w:rPr>
          <w:rFonts w:hint="eastAsia" w:asciiTheme="minorEastAsia" w:hAnsiTheme="minorEastAsia" w:eastAsiaTheme="minorEastAsia" w:cstheme="minorEastAsia"/>
          <w:bCs/>
          <w:spacing w:val="-4"/>
          <w:sz w:val="24"/>
          <w:szCs w:val="24"/>
          <w:highlight w:val="none"/>
        </w:rPr>
        <w:t>报价评分采用低价优先法计算，即满足招标文件要求且投标价格折扣后最低的为评标基准价，其他投标人的报价分按照下列公式计算：（保留小数点后2位，第3位四舍五入）。</w:t>
      </w:r>
    </w:p>
    <w:tbl>
      <w:tblPr>
        <w:tblStyle w:val="17"/>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81"/>
        <w:gridCol w:w="1881"/>
        <w:gridCol w:w="4312"/>
        <w:gridCol w:w="1088"/>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6" w:hRule="atLeast"/>
          <w:jc w:val="center"/>
        </w:trPr>
        <w:tc>
          <w:tcPr>
            <w:tcW w:w="881" w:type="dxa"/>
            <w:shd w:val="clear" w:color="auto" w:fill="FFFFFF"/>
            <w:noWrap w:val="0"/>
            <w:vAlign w:val="center"/>
          </w:tcPr>
          <w:p>
            <w:pPr>
              <w:widowControl/>
              <w:spacing w:line="460" w:lineRule="exact"/>
              <w:jc w:val="center"/>
              <w:textAlignment w:val="center"/>
              <w:rPr>
                <w:rFonts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序号</w:t>
            </w:r>
          </w:p>
        </w:tc>
        <w:tc>
          <w:tcPr>
            <w:tcW w:w="1881" w:type="dxa"/>
            <w:shd w:val="clear" w:color="auto" w:fill="FFFFFF"/>
            <w:noWrap w:val="0"/>
            <w:vAlign w:val="center"/>
          </w:tcPr>
          <w:p>
            <w:pPr>
              <w:widowControl/>
              <w:spacing w:line="460" w:lineRule="exact"/>
              <w:jc w:val="center"/>
              <w:textAlignment w:val="center"/>
              <w:rPr>
                <w:rFonts w:ascii="新宋体" w:hAnsi="新宋体" w:eastAsia="新宋体" w:cs="新宋体"/>
                <w:b/>
                <w:color w:val="auto"/>
                <w:sz w:val="22"/>
                <w:szCs w:val="22"/>
                <w:highlight w:val="none"/>
              </w:rPr>
            </w:pPr>
            <w:r>
              <w:rPr>
                <w:rFonts w:hint="eastAsia" w:ascii="新宋体" w:hAnsi="新宋体" w:eastAsia="新宋体" w:cs="新宋体"/>
                <w:b/>
                <w:color w:val="auto"/>
                <w:kern w:val="0"/>
                <w:sz w:val="22"/>
                <w:szCs w:val="22"/>
                <w:highlight w:val="none"/>
              </w:rPr>
              <w:t>评分内容</w:t>
            </w:r>
          </w:p>
        </w:tc>
        <w:tc>
          <w:tcPr>
            <w:tcW w:w="4312" w:type="dxa"/>
            <w:shd w:val="clear" w:color="auto" w:fill="FFFFFF"/>
            <w:noWrap w:val="0"/>
            <w:vAlign w:val="center"/>
          </w:tcPr>
          <w:p>
            <w:pPr>
              <w:widowControl/>
              <w:spacing w:line="460" w:lineRule="exact"/>
              <w:jc w:val="center"/>
              <w:textAlignment w:val="center"/>
              <w:rPr>
                <w:rFonts w:ascii="新宋体" w:hAnsi="新宋体" w:eastAsia="新宋体" w:cs="新宋体"/>
                <w:b/>
                <w:color w:val="auto"/>
                <w:sz w:val="22"/>
                <w:szCs w:val="22"/>
                <w:highlight w:val="none"/>
              </w:rPr>
            </w:pPr>
            <w:r>
              <w:rPr>
                <w:rFonts w:hint="eastAsia" w:ascii="新宋体" w:hAnsi="新宋体" w:eastAsia="新宋体"/>
                <w:b/>
                <w:color w:val="auto"/>
                <w:sz w:val="22"/>
                <w:szCs w:val="22"/>
                <w:highlight w:val="none"/>
              </w:rPr>
              <w:t>评分</w:t>
            </w:r>
            <w:r>
              <w:rPr>
                <w:rFonts w:hint="eastAsia" w:ascii="新宋体" w:hAnsi="新宋体" w:eastAsia="新宋体" w:cs="新宋体"/>
                <w:b/>
                <w:color w:val="auto"/>
                <w:kern w:val="0"/>
                <w:sz w:val="22"/>
                <w:szCs w:val="22"/>
                <w:highlight w:val="none"/>
              </w:rPr>
              <w:t>方式</w:t>
            </w:r>
          </w:p>
        </w:tc>
        <w:tc>
          <w:tcPr>
            <w:tcW w:w="1088" w:type="dxa"/>
            <w:shd w:val="clear" w:color="auto" w:fill="FFFFFF"/>
            <w:noWrap w:val="0"/>
            <w:vAlign w:val="center"/>
          </w:tcPr>
          <w:p>
            <w:pPr>
              <w:widowControl/>
              <w:spacing w:line="460" w:lineRule="exact"/>
              <w:jc w:val="center"/>
              <w:textAlignment w:val="center"/>
              <w:rPr>
                <w:rFonts w:ascii="新宋体" w:hAnsi="新宋体" w:eastAsia="新宋体" w:cs="新宋体"/>
                <w:b/>
                <w:color w:val="auto"/>
                <w:sz w:val="22"/>
                <w:szCs w:val="22"/>
                <w:highlight w:val="none"/>
              </w:rPr>
            </w:pPr>
            <w:r>
              <w:rPr>
                <w:rFonts w:hint="eastAsia" w:ascii="新宋体" w:hAnsi="新宋体" w:eastAsia="新宋体" w:cs="新宋体"/>
                <w:b/>
                <w:color w:val="auto"/>
                <w:kern w:val="0"/>
                <w:sz w:val="22"/>
                <w:szCs w:val="22"/>
                <w:highlight w:val="none"/>
              </w:rPr>
              <w:t>分值</w:t>
            </w:r>
          </w:p>
        </w:tc>
        <w:tc>
          <w:tcPr>
            <w:tcW w:w="1275" w:type="dxa"/>
            <w:shd w:val="clear" w:color="auto" w:fill="FFFFFF"/>
            <w:noWrap w:val="0"/>
            <w:vAlign w:val="center"/>
          </w:tcPr>
          <w:p>
            <w:pPr>
              <w:widowControl/>
              <w:spacing w:line="460" w:lineRule="exact"/>
              <w:jc w:val="center"/>
              <w:textAlignment w:val="center"/>
              <w:rPr>
                <w:rFonts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6" w:hRule="atLeast"/>
          <w:jc w:val="center"/>
        </w:trPr>
        <w:tc>
          <w:tcPr>
            <w:tcW w:w="881" w:type="dxa"/>
            <w:shd w:val="clear" w:color="auto" w:fill="FFFFFF"/>
            <w:noWrap w:val="0"/>
            <w:vAlign w:val="center"/>
          </w:tcPr>
          <w:p>
            <w:pPr>
              <w:widowControl/>
              <w:spacing w:line="460" w:lineRule="exact"/>
              <w:jc w:val="center"/>
              <w:textAlignment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w:t>
            </w:r>
          </w:p>
        </w:tc>
        <w:tc>
          <w:tcPr>
            <w:tcW w:w="1881" w:type="dxa"/>
            <w:shd w:val="clear" w:color="auto" w:fill="FFFFFF"/>
            <w:noWrap w:val="0"/>
            <w:vAlign w:val="center"/>
          </w:tcPr>
          <w:p>
            <w:pPr>
              <w:pStyle w:val="14"/>
              <w:spacing w:before="0" w:beforeAutospacing="0" w:after="0" w:afterAutospacing="0" w:line="40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材料价格</w:t>
            </w:r>
          </w:p>
        </w:tc>
        <w:tc>
          <w:tcPr>
            <w:tcW w:w="4312" w:type="dxa"/>
            <w:shd w:val="clear" w:color="auto" w:fill="FFFFFF"/>
            <w:noWrap w:val="0"/>
            <w:vAlign w:val="center"/>
          </w:tcPr>
          <w:p>
            <w:pPr>
              <w:pStyle w:val="4"/>
              <w:spacing w:line="360" w:lineRule="auto"/>
              <w:ind w:left="0" w:leftChars="0" w:firstLine="0" w:firstLineChars="0"/>
              <w:rPr>
                <w:rFonts w:hint="eastAsia" w:eastAsia="宋体"/>
                <w:highlight w:val="none"/>
                <w:lang w:val="en-US" w:eastAsia="zh-CN"/>
              </w:rPr>
            </w:pPr>
            <w:r>
              <w:rPr>
                <w:rFonts w:hint="eastAsia" w:eastAsia="宋体"/>
                <w:highlight w:val="none"/>
                <w:lang w:val="en-US" w:eastAsia="zh-CN"/>
              </w:rPr>
              <w:t>对基础维保明细价格单中的材料价格进行下浮报价，下浮率最高的报价作为评标基准价（如果出现上浮率报价则超过最高限价作否决投标处理），材料报价最高得分为20分。</w:t>
            </w:r>
          </w:p>
          <w:p>
            <w:pPr>
              <w:pStyle w:val="4"/>
              <w:spacing w:line="360" w:lineRule="auto"/>
              <w:ind w:left="0" w:leftChars="0" w:firstLine="0" w:firstLineChars="0"/>
              <w:rPr>
                <w:rFonts w:hint="eastAsia" w:eastAsia="宋体"/>
                <w:highlight w:val="none"/>
                <w:lang w:eastAsia="zh-CN"/>
              </w:rPr>
            </w:pPr>
            <w:r>
              <w:rPr>
                <w:rFonts w:hint="eastAsia" w:eastAsia="宋体"/>
                <w:highlight w:val="none"/>
                <w:lang w:val="en-US" w:eastAsia="zh-CN"/>
              </w:rPr>
              <w:t>投标报价得分=(材料价格投标下浮率／评标基准价)×20。</w:t>
            </w:r>
          </w:p>
        </w:tc>
        <w:tc>
          <w:tcPr>
            <w:tcW w:w="1088" w:type="dxa"/>
            <w:shd w:val="clear" w:color="auto" w:fill="FFFFFF"/>
            <w:noWrap w:val="0"/>
            <w:vAlign w:val="center"/>
          </w:tcPr>
          <w:p>
            <w:pPr>
              <w:widowControl/>
              <w:spacing w:line="460" w:lineRule="exact"/>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val="en-US" w:eastAsia="zh-CN"/>
              </w:rPr>
              <w:t>2</w:t>
            </w:r>
            <w:r>
              <w:rPr>
                <w:rFonts w:hint="eastAsia" w:ascii="新宋体" w:hAnsi="新宋体" w:eastAsia="新宋体" w:cs="新宋体"/>
                <w:color w:val="auto"/>
                <w:kern w:val="0"/>
                <w:sz w:val="22"/>
                <w:szCs w:val="22"/>
                <w:highlight w:val="none"/>
              </w:rPr>
              <w:t>0分</w:t>
            </w:r>
          </w:p>
        </w:tc>
        <w:tc>
          <w:tcPr>
            <w:tcW w:w="1275" w:type="dxa"/>
            <w:shd w:val="clear" w:color="auto" w:fill="FFFFFF"/>
            <w:noWrap w:val="0"/>
            <w:vAlign w:val="center"/>
          </w:tcPr>
          <w:p>
            <w:pPr>
              <w:widowControl/>
              <w:spacing w:line="460" w:lineRule="exact"/>
              <w:jc w:val="center"/>
              <w:textAlignment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2</w:t>
            </w:r>
            <w:r>
              <w:rPr>
                <w:rFonts w:hint="eastAsia" w:ascii="新宋体" w:hAnsi="新宋体" w:eastAsia="新宋体" w:cs="新宋体"/>
                <w:color w:val="auto"/>
                <w:kern w:val="0"/>
                <w:sz w:val="22"/>
                <w:szCs w:val="22"/>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0" w:hRule="atLeast"/>
          <w:jc w:val="center"/>
        </w:trPr>
        <w:tc>
          <w:tcPr>
            <w:tcW w:w="881" w:type="dxa"/>
            <w:shd w:val="clear" w:color="auto" w:fill="auto"/>
            <w:noWrap w:val="0"/>
            <w:vAlign w:val="center"/>
          </w:tcPr>
          <w:p>
            <w:pPr>
              <w:widowControl/>
              <w:spacing w:line="460" w:lineRule="exact"/>
              <w:jc w:val="center"/>
              <w:textAlignment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w:t>
            </w:r>
          </w:p>
        </w:tc>
        <w:tc>
          <w:tcPr>
            <w:tcW w:w="1881" w:type="dxa"/>
            <w:shd w:val="clear" w:color="auto" w:fill="auto"/>
            <w:noWrap w:val="0"/>
            <w:vAlign w:val="center"/>
          </w:tcPr>
          <w:p>
            <w:pPr>
              <w:pStyle w:val="14"/>
              <w:spacing w:before="0" w:beforeAutospacing="0" w:after="0" w:afterAutospacing="0" w:line="400" w:lineRule="exact"/>
              <w:jc w:val="center"/>
              <w:rPr>
                <w:rFonts w:ascii="新宋体" w:hAnsi="新宋体" w:eastAsia="新宋体" w:cs="新宋体"/>
                <w:color w:val="auto"/>
                <w:sz w:val="22"/>
                <w:szCs w:val="22"/>
                <w:highlight w:val="none"/>
              </w:rPr>
            </w:pPr>
            <w:r>
              <w:rPr>
                <w:rFonts w:hint="eastAsia" w:ascii="宋体" w:hAnsi="宋体" w:eastAsia="宋体" w:cs="宋体"/>
                <w:color w:val="auto"/>
                <w:sz w:val="22"/>
                <w:szCs w:val="22"/>
                <w:highlight w:val="none"/>
                <w:lang w:val="en-US" w:eastAsia="zh-CN"/>
              </w:rPr>
              <w:t>工时费</w:t>
            </w:r>
            <w:r>
              <w:rPr>
                <w:rFonts w:hint="eastAsia" w:ascii="宋体" w:hAnsi="宋体" w:eastAsia="宋体" w:cs="宋体"/>
                <w:color w:val="auto"/>
                <w:kern w:val="2"/>
                <w:sz w:val="22"/>
                <w:szCs w:val="22"/>
                <w:highlight w:val="none"/>
              </w:rPr>
              <w:t xml:space="preserve"> </w:t>
            </w:r>
          </w:p>
        </w:tc>
        <w:tc>
          <w:tcPr>
            <w:tcW w:w="4312" w:type="dxa"/>
            <w:shd w:val="clear" w:color="auto" w:fill="FFFFFF"/>
            <w:noWrap w:val="0"/>
            <w:vAlign w:val="center"/>
          </w:tcPr>
          <w:p>
            <w:pPr>
              <w:spacing w:line="460" w:lineRule="exact"/>
              <w:jc w:val="both"/>
              <w:rPr>
                <w:rFonts w:hint="eastAsia" w:eastAsia="宋体"/>
                <w:highlight w:val="none"/>
                <w:lang w:val="en-US" w:eastAsia="zh-CN"/>
              </w:rPr>
            </w:pPr>
            <w:r>
              <w:rPr>
                <w:rFonts w:hint="eastAsia" w:eastAsia="宋体"/>
                <w:highlight w:val="none"/>
                <w:lang w:val="en-US" w:eastAsia="zh-CN"/>
              </w:rPr>
              <w:t>对基础维保明细价格单中的工时费进行下浮报价，下浮率最高的报价作为评标基准价（如果出现上浮率报价则超过最高限价作否决投标处理），工时费最高得分为10分。</w:t>
            </w:r>
          </w:p>
          <w:p>
            <w:pPr>
              <w:spacing w:line="460" w:lineRule="exact"/>
              <w:jc w:val="both"/>
              <w:rPr>
                <w:rFonts w:ascii="新宋体" w:hAnsi="新宋体" w:eastAsia="新宋体" w:cs="新宋体"/>
                <w:color w:val="auto"/>
                <w:sz w:val="22"/>
                <w:szCs w:val="22"/>
                <w:highlight w:val="none"/>
              </w:rPr>
            </w:pPr>
            <w:r>
              <w:rPr>
                <w:rFonts w:hint="eastAsia" w:eastAsia="宋体"/>
                <w:highlight w:val="none"/>
                <w:lang w:val="en-US" w:eastAsia="zh-CN"/>
              </w:rPr>
              <w:t>工时费投标报价得分=(工时费投标下浮率／评标基准价)×10。</w:t>
            </w:r>
          </w:p>
        </w:tc>
        <w:tc>
          <w:tcPr>
            <w:tcW w:w="1088" w:type="dxa"/>
            <w:noWrap w:val="0"/>
            <w:vAlign w:val="center"/>
          </w:tcPr>
          <w:p>
            <w:pPr>
              <w:widowControl/>
              <w:spacing w:line="460" w:lineRule="exact"/>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val="en-US" w:eastAsia="zh-CN"/>
              </w:rPr>
              <w:t>10</w:t>
            </w:r>
            <w:r>
              <w:rPr>
                <w:rFonts w:hint="eastAsia" w:ascii="新宋体" w:hAnsi="新宋体" w:eastAsia="新宋体" w:cs="新宋体"/>
                <w:color w:val="auto"/>
                <w:kern w:val="0"/>
                <w:sz w:val="22"/>
                <w:szCs w:val="22"/>
                <w:highlight w:val="none"/>
              </w:rPr>
              <w:t>分</w:t>
            </w:r>
          </w:p>
        </w:tc>
        <w:tc>
          <w:tcPr>
            <w:tcW w:w="1275" w:type="dxa"/>
            <w:noWrap w:val="0"/>
            <w:vAlign w:val="center"/>
          </w:tcPr>
          <w:p>
            <w:pPr>
              <w:widowControl/>
              <w:spacing w:line="460" w:lineRule="exact"/>
              <w:jc w:val="center"/>
              <w:textAlignment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10</w:t>
            </w:r>
            <w:r>
              <w:rPr>
                <w:rFonts w:hint="eastAsia" w:ascii="新宋体" w:hAnsi="新宋体" w:eastAsia="新宋体" w:cs="新宋体"/>
                <w:color w:val="auto"/>
                <w:kern w:val="0"/>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9" w:hRule="atLeast"/>
          <w:jc w:val="center"/>
        </w:trPr>
        <w:tc>
          <w:tcPr>
            <w:tcW w:w="7074" w:type="dxa"/>
            <w:gridSpan w:val="3"/>
            <w:noWrap w:val="0"/>
            <w:vAlign w:val="center"/>
          </w:tcPr>
          <w:p>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b/>
                <w:color w:val="auto"/>
                <w:sz w:val="22"/>
                <w:szCs w:val="22"/>
                <w:highlight w:val="none"/>
                <w:lang w:val="en-US" w:eastAsia="zh-CN"/>
              </w:rPr>
              <w:t>价格</w:t>
            </w:r>
            <w:r>
              <w:rPr>
                <w:rFonts w:hint="eastAsia" w:ascii="新宋体" w:hAnsi="新宋体" w:eastAsia="新宋体"/>
                <w:b/>
                <w:color w:val="auto"/>
                <w:sz w:val="22"/>
                <w:szCs w:val="22"/>
                <w:highlight w:val="none"/>
              </w:rPr>
              <w:t>评分总计：</w:t>
            </w:r>
          </w:p>
        </w:tc>
        <w:tc>
          <w:tcPr>
            <w:tcW w:w="1088" w:type="dxa"/>
            <w:noWrap w:val="0"/>
            <w:vAlign w:val="center"/>
          </w:tcPr>
          <w:p>
            <w:pPr>
              <w:widowControl/>
              <w:spacing w:line="460" w:lineRule="exact"/>
              <w:jc w:val="center"/>
              <w:textAlignment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30</w:t>
            </w:r>
            <w:r>
              <w:rPr>
                <w:rFonts w:hint="eastAsia" w:ascii="新宋体" w:hAnsi="新宋体" w:eastAsia="新宋体" w:cs="新宋体"/>
                <w:color w:val="auto"/>
                <w:kern w:val="0"/>
                <w:sz w:val="22"/>
                <w:szCs w:val="22"/>
                <w:highlight w:val="none"/>
              </w:rPr>
              <w:t>分</w:t>
            </w:r>
          </w:p>
        </w:tc>
        <w:tc>
          <w:tcPr>
            <w:tcW w:w="1275" w:type="dxa"/>
            <w:noWrap w:val="0"/>
            <w:vAlign w:val="center"/>
          </w:tcPr>
          <w:p>
            <w:pPr>
              <w:widowControl/>
              <w:spacing w:line="460" w:lineRule="exact"/>
              <w:jc w:val="center"/>
              <w:textAlignment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w:t>
            </w:r>
            <w:r>
              <w:rPr>
                <w:rFonts w:hint="eastAsia" w:ascii="新宋体" w:hAnsi="新宋体" w:eastAsia="新宋体" w:cs="新宋体"/>
                <w:color w:val="auto"/>
                <w:kern w:val="0"/>
                <w:sz w:val="22"/>
                <w:szCs w:val="22"/>
                <w:highlight w:val="none"/>
                <w:lang w:val="en-US" w:eastAsia="zh-CN"/>
              </w:rPr>
              <w:t>0</w:t>
            </w:r>
            <w:r>
              <w:rPr>
                <w:rFonts w:hint="eastAsia" w:ascii="新宋体" w:hAnsi="新宋体" w:eastAsia="新宋体" w:cs="新宋体"/>
                <w:color w:val="auto"/>
                <w:kern w:val="0"/>
                <w:sz w:val="22"/>
                <w:szCs w:val="22"/>
                <w:highlight w:val="none"/>
              </w:rPr>
              <w:t>%</w:t>
            </w:r>
          </w:p>
        </w:tc>
      </w:tr>
    </w:tbl>
    <w:p>
      <w:pPr>
        <w:pStyle w:val="3"/>
        <w:jc w:val="center"/>
        <w:rPr>
          <w:rFonts w:hint="eastAsia" w:ascii="新宋体" w:hAnsi="新宋体" w:eastAsia="新宋体" w:cs="新宋体"/>
          <w:b/>
          <w:bCs/>
          <w:color w:val="auto"/>
          <w:kern w:val="2"/>
          <w:sz w:val="28"/>
          <w:szCs w:val="28"/>
          <w:highlight w:val="none"/>
          <w:lang w:val="en-US" w:eastAsia="zh-CN" w:bidi="ar-SA"/>
        </w:rPr>
      </w:pPr>
    </w:p>
    <w:p>
      <w:pPr>
        <w:rPr>
          <w:rFonts w:hint="eastAsia" w:ascii="新宋体" w:hAnsi="新宋体" w:eastAsia="新宋体" w:cs="新宋体"/>
          <w:b/>
          <w:bCs/>
          <w:color w:val="auto"/>
          <w:kern w:val="2"/>
          <w:sz w:val="28"/>
          <w:szCs w:val="28"/>
          <w:highlight w:val="none"/>
          <w:lang w:val="en-US" w:eastAsia="zh-CN" w:bidi="ar-SA"/>
        </w:rPr>
      </w:pPr>
    </w:p>
    <w:p>
      <w:pPr>
        <w:pStyle w:val="4"/>
        <w:rPr>
          <w:rFonts w:hint="eastAsia" w:ascii="新宋体" w:hAnsi="新宋体" w:eastAsia="新宋体" w:cs="新宋体"/>
          <w:b/>
          <w:bCs/>
          <w:color w:val="auto"/>
          <w:kern w:val="2"/>
          <w:sz w:val="28"/>
          <w:szCs w:val="28"/>
          <w:highlight w:val="none"/>
          <w:lang w:val="en-US" w:eastAsia="zh-CN" w:bidi="ar-SA"/>
        </w:rPr>
      </w:pPr>
    </w:p>
    <w:p>
      <w:pPr>
        <w:pStyle w:val="4"/>
        <w:rPr>
          <w:rFonts w:hint="eastAsia" w:ascii="新宋体" w:hAnsi="新宋体" w:eastAsia="新宋体" w:cs="新宋体"/>
          <w:b/>
          <w:bCs/>
          <w:color w:val="auto"/>
          <w:kern w:val="2"/>
          <w:sz w:val="28"/>
          <w:szCs w:val="28"/>
          <w:highlight w:val="none"/>
          <w:lang w:val="en-US" w:eastAsia="zh-CN" w:bidi="ar-SA"/>
        </w:rPr>
      </w:pPr>
    </w:p>
    <w:p>
      <w:pPr>
        <w:pStyle w:val="4"/>
        <w:rPr>
          <w:rFonts w:hint="eastAsia" w:ascii="新宋体" w:hAnsi="新宋体" w:eastAsia="新宋体" w:cs="新宋体"/>
          <w:b/>
          <w:bCs/>
          <w:color w:val="auto"/>
          <w:kern w:val="2"/>
          <w:sz w:val="28"/>
          <w:szCs w:val="28"/>
          <w:highlight w:val="none"/>
          <w:lang w:val="en-US" w:eastAsia="zh-CN" w:bidi="ar-SA"/>
        </w:rPr>
      </w:pPr>
    </w:p>
    <w:p>
      <w:pPr>
        <w:pStyle w:val="4"/>
        <w:rPr>
          <w:rFonts w:hint="eastAsia" w:ascii="新宋体" w:hAnsi="新宋体" w:eastAsia="新宋体" w:cs="新宋体"/>
          <w:b/>
          <w:bCs/>
          <w:color w:val="auto"/>
          <w:kern w:val="2"/>
          <w:sz w:val="28"/>
          <w:szCs w:val="28"/>
          <w:highlight w:val="none"/>
          <w:lang w:val="en-US" w:eastAsia="zh-CN" w:bidi="ar-SA"/>
        </w:rPr>
      </w:pPr>
    </w:p>
    <w:p>
      <w:pPr>
        <w:pStyle w:val="4"/>
        <w:rPr>
          <w:rFonts w:hint="eastAsia" w:ascii="新宋体" w:hAnsi="新宋体" w:eastAsia="新宋体" w:cs="新宋体"/>
          <w:b/>
          <w:bCs/>
          <w:color w:val="auto"/>
          <w:kern w:val="2"/>
          <w:sz w:val="28"/>
          <w:szCs w:val="28"/>
          <w:highlight w:val="none"/>
          <w:lang w:val="en-US" w:eastAsia="zh-CN" w:bidi="ar-SA"/>
        </w:rPr>
      </w:pPr>
    </w:p>
    <w:p>
      <w:pPr>
        <w:pStyle w:val="4"/>
        <w:rPr>
          <w:rFonts w:hint="eastAsia" w:ascii="新宋体" w:hAnsi="新宋体" w:eastAsia="新宋体" w:cs="新宋体"/>
          <w:b/>
          <w:bCs/>
          <w:color w:val="auto"/>
          <w:kern w:val="2"/>
          <w:sz w:val="28"/>
          <w:szCs w:val="28"/>
          <w:highlight w:val="none"/>
          <w:lang w:val="en-US" w:eastAsia="zh-CN" w:bidi="ar-SA"/>
        </w:rPr>
      </w:pPr>
    </w:p>
    <w:p>
      <w:pPr>
        <w:rPr>
          <w:rFonts w:hint="eastAsia"/>
          <w:highlight w:val="none"/>
          <w:lang w:val="en-US" w:eastAsia="zh-CN"/>
        </w:rPr>
      </w:pPr>
    </w:p>
    <w:p>
      <w:pPr>
        <w:pStyle w:val="3"/>
        <w:jc w:val="center"/>
        <w:rPr>
          <w:rFonts w:hint="eastAsia" w:ascii="新宋体" w:hAnsi="新宋体" w:eastAsia="新宋体" w:cs="新宋体"/>
          <w:b w:val="0"/>
          <w:bCs/>
          <w:color w:val="auto"/>
          <w:sz w:val="22"/>
          <w:highlight w:val="none"/>
        </w:rPr>
      </w:pPr>
      <w:r>
        <w:rPr>
          <w:rFonts w:hint="eastAsia" w:ascii="新宋体" w:hAnsi="新宋体" w:eastAsia="新宋体" w:cs="新宋体"/>
          <w:b/>
          <w:bCs/>
          <w:color w:val="auto"/>
          <w:kern w:val="2"/>
          <w:sz w:val="28"/>
          <w:szCs w:val="28"/>
          <w:highlight w:val="none"/>
          <w:lang w:val="en-US" w:eastAsia="zh-CN" w:bidi="ar-SA"/>
        </w:rPr>
        <w:t>报价一览表</w:t>
      </w:r>
    </w:p>
    <w:p>
      <w:pPr>
        <w:autoSpaceDE w:val="0"/>
        <w:autoSpaceDN w:val="0"/>
        <w:spacing w:line="360" w:lineRule="auto"/>
        <w:ind w:right="893" w:firstLine="220" w:firstLineChars="100"/>
        <w:textAlignment w:val="bottom"/>
        <w:rPr>
          <w:rFonts w:hint="eastAsia" w:ascii="新宋体" w:hAnsi="新宋体" w:eastAsia="新宋体" w:cs="新宋体"/>
          <w:b w:val="0"/>
          <w:bCs/>
          <w:color w:val="auto"/>
          <w:sz w:val="22"/>
          <w:highlight w:val="none"/>
        </w:rPr>
      </w:pPr>
      <w:r>
        <w:rPr>
          <w:rFonts w:hint="eastAsia" w:ascii="新宋体" w:hAnsi="新宋体" w:eastAsia="新宋体" w:cs="新宋体"/>
          <w:b w:val="0"/>
          <w:bCs/>
          <w:color w:val="auto"/>
          <w:sz w:val="22"/>
          <w:highlight w:val="none"/>
        </w:rPr>
        <w:t>项目名称：</w:t>
      </w:r>
      <w:r>
        <w:rPr>
          <w:rFonts w:hint="eastAsia" w:ascii="新宋体" w:hAnsi="新宋体" w:eastAsia="新宋体" w:cs="新宋体"/>
          <w:b w:val="0"/>
          <w:bCs/>
          <w:color w:val="auto"/>
          <w:sz w:val="22"/>
          <w:highlight w:val="none"/>
          <w:lang w:val="en-US" w:eastAsia="zh-CN"/>
        </w:rPr>
        <w:t>温州市中医院公务用车维修</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2026年度）</w:t>
      </w:r>
      <w:r>
        <w:rPr>
          <w:rFonts w:hint="eastAsia" w:ascii="新宋体" w:hAnsi="新宋体" w:eastAsia="新宋体" w:cs="新宋体"/>
          <w:b w:val="0"/>
          <w:bCs/>
          <w:color w:val="auto"/>
          <w:sz w:val="22"/>
          <w:highlight w:val="none"/>
        </w:rPr>
        <w:t xml:space="preserve">                                </w:t>
      </w:r>
    </w:p>
    <w:tbl>
      <w:tblPr>
        <w:tblStyle w:val="17"/>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925"/>
        <w:gridCol w:w="3593"/>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0"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2925"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bCs/>
                <w:color w:val="auto"/>
                <w:sz w:val="22"/>
                <w:szCs w:val="22"/>
                <w:highlight w:val="none"/>
              </w:rPr>
              <w:t>项目名称</w:t>
            </w:r>
          </w:p>
        </w:tc>
        <w:tc>
          <w:tcPr>
            <w:tcW w:w="3593" w:type="dxa"/>
            <w:noWrap w:val="0"/>
            <w:vAlign w:val="center"/>
          </w:tcPr>
          <w:p>
            <w:pPr>
              <w:spacing w:line="380" w:lineRule="exact"/>
              <w:jc w:val="center"/>
              <w:rPr>
                <w:rFonts w:hint="eastAsia" w:ascii="宋体" w:hAnsi="宋体" w:eastAsia="宋体" w:cs="宋体"/>
                <w:color w:val="auto"/>
                <w:sz w:val="22"/>
                <w:highlight w:val="none"/>
                <w:lang w:eastAsia="zh-CN"/>
              </w:rPr>
            </w:pPr>
            <w:r>
              <w:rPr>
                <w:rFonts w:hint="eastAsia" w:ascii="宋体" w:hAnsi="宋体" w:cs="宋体"/>
                <w:bCs/>
                <w:color w:val="auto"/>
                <w:sz w:val="22"/>
                <w:szCs w:val="22"/>
                <w:highlight w:val="none"/>
                <w:lang w:val="en-US" w:eastAsia="zh-CN"/>
              </w:rPr>
              <w:t>投标下浮率（%）</w:t>
            </w:r>
          </w:p>
        </w:tc>
        <w:tc>
          <w:tcPr>
            <w:tcW w:w="1422" w:type="dxa"/>
            <w:noWrap w:val="0"/>
            <w:vAlign w:val="center"/>
          </w:tcPr>
          <w:p>
            <w:pPr>
              <w:spacing w:line="38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100" w:type="dxa"/>
            <w:noWrap w:val="0"/>
            <w:vAlign w:val="center"/>
          </w:tcPr>
          <w:p>
            <w:pPr>
              <w:spacing w:line="380" w:lineRule="exact"/>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w:t>
            </w:r>
          </w:p>
        </w:tc>
        <w:tc>
          <w:tcPr>
            <w:tcW w:w="2925"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cs="宋体"/>
                <w:sz w:val="24"/>
                <w:szCs w:val="24"/>
                <w:highlight w:val="none"/>
                <w:lang w:val="en-US" w:eastAsia="zh-CN"/>
              </w:rPr>
              <w:t>材料价格</w:t>
            </w:r>
          </w:p>
        </w:tc>
        <w:tc>
          <w:tcPr>
            <w:tcW w:w="3593" w:type="dxa"/>
            <w:noWrap w:val="0"/>
            <w:vAlign w:val="center"/>
          </w:tcPr>
          <w:p>
            <w:pPr>
              <w:spacing w:line="380" w:lineRule="exact"/>
              <w:ind w:firstLine="1320" w:firstLineChars="600"/>
              <w:rPr>
                <w:rFonts w:hint="eastAsia" w:ascii="宋体" w:hAnsi="宋体" w:eastAsia="宋体" w:cs="宋体"/>
                <w:color w:val="auto"/>
                <w:sz w:val="22"/>
                <w:highlight w:val="none"/>
              </w:rPr>
            </w:pPr>
            <w:r>
              <w:rPr>
                <w:rFonts w:hint="eastAsia" w:ascii="宋体" w:hAnsi="宋体" w:cs="新宋体"/>
                <w:color w:val="auto"/>
                <w:sz w:val="22"/>
                <w:szCs w:val="22"/>
                <w:highlight w:val="none"/>
                <w:u w:val="single"/>
              </w:rPr>
              <w:t xml:space="preserve">    </w:t>
            </w:r>
            <w:r>
              <w:rPr>
                <w:rFonts w:hint="eastAsia" w:ascii="宋体" w:hAnsi="宋体" w:cs="新宋体"/>
                <w:color w:val="auto"/>
                <w:sz w:val="22"/>
                <w:szCs w:val="22"/>
                <w:highlight w:val="none"/>
                <w:u w:val="single"/>
                <w:lang w:val="en-US" w:eastAsia="zh-CN"/>
              </w:rPr>
              <w:t xml:space="preserve">   </w:t>
            </w:r>
            <w:r>
              <w:rPr>
                <w:rFonts w:hint="eastAsia" w:ascii="宋体" w:hAnsi="宋体" w:cs="新宋体"/>
                <w:color w:val="auto"/>
                <w:sz w:val="22"/>
                <w:szCs w:val="22"/>
                <w:highlight w:val="none"/>
                <w:u w:val="single"/>
              </w:rPr>
              <w:t>%</w:t>
            </w:r>
          </w:p>
        </w:tc>
        <w:tc>
          <w:tcPr>
            <w:tcW w:w="1422" w:type="dxa"/>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1100" w:type="dxa"/>
            <w:noWrap w:val="0"/>
            <w:vAlign w:val="center"/>
          </w:tcPr>
          <w:p>
            <w:pPr>
              <w:spacing w:line="380" w:lineRule="exact"/>
              <w:jc w:val="center"/>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2</w:t>
            </w:r>
          </w:p>
        </w:tc>
        <w:tc>
          <w:tcPr>
            <w:tcW w:w="2925"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工时费</w:t>
            </w:r>
          </w:p>
        </w:tc>
        <w:tc>
          <w:tcPr>
            <w:tcW w:w="3593" w:type="dxa"/>
            <w:noWrap w:val="0"/>
            <w:vAlign w:val="center"/>
          </w:tcPr>
          <w:p>
            <w:pPr>
              <w:spacing w:line="380" w:lineRule="exact"/>
              <w:ind w:firstLine="1320" w:firstLineChars="600"/>
              <w:rPr>
                <w:rFonts w:hint="eastAsia" w:ascii="宋体" w:hAnsi="宋体" w:eastAsia="宋体" w:cs="宋体"/>
                <w:color w:val="auto"/>
                <w:sz w:val="22"/>
                <w:highlight w:val="none"/>
              </w:rPr>
            </w:pPr>
            <w:r>
              <w:rPr>
                <w:rFonts w:hint="eastAsia" w:ascii="宋体" w:hAnsi="宋体" w:cs="新宋体"/>
                <w:color w:val="auto"/>
                <w:sz w:val="22"/>
                <w:szCs w:val="22"/>
                <w:highlight w:val="none"/>
                <w:u w:val="single"/>
              </w:rPr>
              <w:t xml:space="preserve">    </w:t>
            </w:r>
            <w:r>
              <w:rPr>
                <w:rFonts w:hint="eastAsia" w:ascii="宋体" w:hAnsi="宋体" w:cs="新宋体"/>
                <w:color w:val="auto"/>
                <w:sz w:val="22"/>
                <w:szCs w:val="22"/>
                <w:highlight w:val="none"/>
                <w:u w:val="single"/>
                <w:lang w:val="en-US" w:eastAsia="zh-CN"/>
              </w:rPr>
              <w:t xml:space="preserve">   </w:t>
            </w:r>
            <w:r>
              <w:rPr>
                <w:rFonts w:hint="eastAsia" w:ascii="宋体" w:hAnsi="宋体" w:cs="新宋体"/>
                <w:color w:val="auto"/>
                <w:sz w:val="22"/>
                <w:szCs w:val="22"/>
                <w:highlight w:val="none"/>
                <w:u w:val="single"/>
              </w:rPr>
              <w:t>%</w:t>
            </w:r>
          </w:p>
        </w:tc>
        <w:tc>
          <w:tcPr>
            <w:tcW w:w="1422" w:type="dxa"/>
            <w:noWrap w:val="0"/>
            <w:vAlign w:val="center"/>
          </w:tcPr>
          <w:p>
            <w:pPr>
              <w:spacing w:line="380" w:lineRule="exact"/>
              <w:jc w:val="center"/>
              <w:rPr>
                <w:rFonts w:hint="eastAsia" w:ascii="宋体" w:hAnsi="宋体" w:eastAsia="宋体" w:cs="宋体"/>
                <w:color w:val="auto"/>
                <w:sz w:val="22"/>
                <w:highlight w:val="none"/>
              </w:rPr>
            </w:pPr>
          </w:p>
        </w:tc>
      </w:tr>
    </w:tbl>
    <w:p>
      <w:pPr>
        <w:spacing w:line="450" w:lineRule="exact"/>
        <w:rPr>
          <w:rFonts w:hint="eastAsia" w:ascii="宋体" w:hAnsi="宋体" w:eastAsia="宋体" w:cs="宋体"/>
          <w:b/>
          <w:color w:val="auto"/>
          <w:sz w:val="22"/>
          <w:highlight w:val="none"/>
          <w:lang w:val="en-US" w:eastAsia="zh-CN"/>
        </w:rPr>
      </w:pPr>
      <w:r>
        <w:rPr>
          <w:rFonts w:hint="eastAsia" w:ascii="宋体" w:hAnsi="宋体" w:eastAsia="宋体" w:cs="宋体"/>
          <w:b/>
          <w:color w:val="auto"/>
          <w:sz w:val="22"/>
          <w:highlight w:val="none"/>
        </w:rPr>
        <w:t>说明：</w:t>
      </w:r>
      <w:r>
        <w:rPr>
          <w:rFonts w:hint="eastAsia" w:ascii="宋体" w:hAnsi="宋体" w:cs="宋体"/>
          <w:b/>
          <w:color w:val="auto"/>
          <w:sz w:val="22"/>
          <w:highlight w:val="none"/>
          <w:lang w:val="en-US" w:eastAsia="zh-CN"/>
        </w:rPr>
        <w:t>1、全部报价均为税后价。</w:t>
      </w:r>
    </w:p>
    <w:p>
      <w:pPr>
        <w:spacing w:line="450" w:lineRule="exact"/>
        <w:ind w:firstLine="663" w:firstLineChars="300"/>
        <w:rPr>
          <w:rFonts w:hint="eastAsia" w:ascii="宋体" w:hAnsi="宋体" w:eastAsia="宋体" w:cs="宋体"/>
          <w:b/>
          <w:color w:val="auto"/>
          <w:sz w:val="22"/>
          <w:highlight w:val="none"/>
          <w:lang w:eastAsia="zh-CN"/>
        </w:rPr>
      </w:pPr>
      <w:r>
        <w:rPr>
          <w:rFonts w:hint="eastAsia" w:ascii="宋体" w:hAnsi="宋体" w:cs="宋体"/>
          <w:b/>
          <w:color w:val="auto"/>
          <w:sz w:val="22"/>
          <w:highlight w:val="none"/>
          <w:lang w:val="en-US" w:eastAsia="zh-CN"/>
        </w:rPr>
        <w:t>2、</w:t>
      </w:r>
      <w:r>
        <w:rPr>
          <w:rFonts w:hint="eastAsia" w:ascii="宋体" w:hAnsi="宋体" w:eastAsia="宋体" w:cs="宋体"/>
          <w:b/>
          <w:color w:val="auto"/>
          <w:sz w:val="22"/>
          <w:highlight w:val="none"/>
        </w:rPr>
        <w:t>不提供此表格将被视为没有实质性响应</w:t>
      </w:r>
      <w:r>
        <w:rPr>
          <w:rFonts w:hint="eastAsia" w:ascii="宋体" w:hAnsi="宋体" w:cs="宋体"/>
          <w:b/>
          <w:color w:val="auto"/>
          <w:sz w:val="22"/>
          <w:highlight w:val="none"/>
          <w:lang w:val="en-US" w:eastAsia="zh-CN"/>
        </w:rPr>
        <w:t>遴选</w:t>
      </w:r>
      <w:r>
        <w:rPr>
          <w:rFonts w:hint="eastAsia" w:ascii="宋体" w:hAnsi="宋体" w:eastAsia="宋体" w:cs="宋体"/>
          <w:b/>
          <w:color w:val="auto"/>
          <w:sz w:val="22"/>
          <w:highlight w:val="none"/>
        </w:rPr>
        <w:t>文件</w:t>
      </w:r>
      <w:r>
        <w:rPr>
          <w:rFonts w:hint="eastAsia" w:ascii="宋体" w:hAnsi="宋体" w:eastAsia="宋体" w:cs="宋体"/>
          <w:b/>
          <w:color w:val="auto"/>
          <w:sz w:val="22"/>
          <w:highlight w:val="none"/>
          <w:lang w:eastAsia="zh-CN"/>
        </w:rPr>
        <w:t>。</w:t>
      </w:r>
    </w:p>
    <w:p>
      <w:pPr>
        <w:pStyle w:val="6"/>
        <w:rPr>
          <w:rFonts w:hint="eastAsia"/>
          <w:highlight w:val="none"/>
        </w:rPr>
      </w:pPr>
    </w:p>
    <w:p>
      <w:pPr>
        <w:pStyle w:val="13"/>
        <w:rPr>
          <w:rFonts w:hint="eastAsia"/>
          <w:highlight w:val="none"/>
        </w:rPr>
      </w:pPr>
    </w:p>
    <w:p>
      <w:pPr>
        <w:rPr>
          <w:rFonts w:hint="eastAsia"/>
          <w:highlight w:val="none"/>
        </w:rPr>
      </w:pPr>
    </w:p>
    <w:p>
      <w:pPr>
        <w:pStyle w:val="16"/>
        <w:rPr>
          <w:rFonts w:hint="eastAsia"/>
          <w:highlight w:val="none"/>
        </w:rPr>
      </w:pPr>
    </w:p>
    <w:p>
      <w:pPr>
        <w:pStyle w:val="16"/>
        <w:rPr>
          <w:rFonts w:hint="eastAsia"/>
          <w:highlight w:val="none"/>
        </w:rPr>
      </w:pPr>
    </w:p>
    <w:p>
      <w:pPr>
        <w:pStyle w:val="16"/>
        <w:rPr>
          <w:rFonts w:hint="eastAsia"/>
          <w:highlight w:val="none"/>
        </w:rPr>
      </w:pPr>
    </w:p>
    <w:p>
      <w:pPr>
        <w:pStyle w:val="16"/>
        <w:rPr>
          <w:rFonts w:hint="eastAsia"/>
          <w:highlight w:val="none"/>
        </w:rPr>
      </w:pPr>
    </w:p>
    <w:p>
      <w:pPr>
        <w:pStyle w:val="16"/>
        <w:rPr>
          <w:rFonts w:hint="eastAsia"/>
          <w:highlight w:val="none"/>
        </w:rPr>
      </w:pPr>
    </w:p>
    <w:p>
      <w:pPr>
        <w:pStyle w:val="16"/>
        <w:rPr>
          <w:rFonts w:hint="eastAsia"/>
          <w:highlight w:val="none"/>
        </w:rPr>
      </w:pPr>
    </w:p>
    <w:p>
      <w:pPr>
        <w:pStyle w:val="16"/>
        <w:rPr>
          <w:rFonts w:hint="eastAsia"/>
          <w:highlight w:val="none"/>
        </w:rPr>
      </w:pPr>
    </w:p>
    <w:p>
      <w:pPr>
        <w:pStyle w:val="16"/>
        <w:rPr>
          <w:rFonts w:hint="eastAsia"/>
          <w:highlight w:val="none"/>
        </w:rPr>
      </w:pPr>
    </w:p>
    <w:p>
      <w:pPr>
        <w:pStyle w:val="16"/>
        <w:rPr>
          <w:rFonts w:hint="eastAsia"/>
          <w:highlight w:val="none"/>
        </w:rPr>
      </w:pPr>
    </w:p>
    <w:p>
      <w:pPr>
        <w:pStyle w:val="16"/>
        <w:rPr>
          <w:rFonts w:hint="eastAsia"/>
          <w:highlight w:val="none"/>
        </w:rPr>
      </w:pPr>
    </w:p>
    <w:p>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投标人全称（盖章）：</w:t>
      </w:r>
    </w:p>
    <w:p>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投标人代表（签字）：</w:t>
      </w:r>
    </w:p>
    <w:p>
      <w:pPr>
        <w:spacing w:line="380" w:lineRule="exact"/>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日    期：</w:t>
      </w:r>
    </w:p>
    <w:p>
      <w:pPr>
        <w:spacing w:line="380" w:lineRule="exact"/>
        <w:ind w:firstLine="220" w:firstLineChars="100"/>
        <w:rPr>
          <w:rFonts w:hint="eastAsia" w:ascii="宋体" w:hAnsi="宋体" w:eastAsia="宋体" w:cs="宋体"/>
          <w:color w:val="auto"/>
          <w:sz w:val="22"/>
          <w:szCs w:val="22"/>
          <w:highlight w:val="none"/>
        </w:rPr>
      </w:pPr>
    </w:p>
    <w:p>
      <w:pPr>
        <w:pStyle w:val="16"/>
        <w:ind w:left="860" w:hanging="440"/>
        <w:rPr>
          <w:rFonts w:hint="eastAsia" w:ascii="宋体" w:hAnsi="宋体" w:eastAsia="宋体" w:cs="宋体"/>
          <w:color w:val="auto"/>
          <w:sz w:val="22"/>
          <w:szCs w:val="22"/>
          <w:highlight w:val="none"/>
        </w:rPr>
      </w:pPr>
    </w:p>
    <w:p>
      <w:pPr>
        <w:pStyle w:val="16"/>
        <w:rPr>
          <w:rFonts w:hint="eastAsia"/>
          <w:highlight w:val="none"/>
        </w:rPr>
      </w:pPr>
    </w:p>
    <w:p>
      <w:pPr>
        <w:rPr>
          <w:rFonts w:hint="eastAsia"/>
          <w:color w:val="auto"/>
          <w:highlight w:val="none"/>
        </w:rPr>
      </w:pPr>
    </w:p>
    <w:p>
      <w:pPr>
        <w:pStyle w:val="16"/>
        <w:ind w:left="0" w:leftChars="0" w:firstLine="0" w:firstLineChars="0"/>
        <w:rPr>
          <w:rFonts w:hint="eastAsia"/>
          <w:highlight w:val="none"/>
        </w:rPr>
      </w:pPr>
    </w:p>
    <w:p>
      <w:pPr>
        <w:widowControl w:val="0"/>
        <w:numPr>
          <w:ilvl w:val="0"/>
          <w:numId w:val="0"/>
        </w:numPr>
        <w:jc w:val="left"/>
        <w:rPr>
          <w:sz w:val="24"/>
          <w:highlight w:val="none"/>
        </w:rPr>
      </w:pPr>
    </w:p>
    <w:p>
      <w:pPr>
        <w:spacing w:line="380" w:lineRule="exact"/>
        <w:rPr>
          <w:rFonts w:hint="eastAsia"/>
          <w:highlight w:val="none"/>
        </w:rPr>
      </w:pPr>
    </w:p>
    <w:sectPr>
      <w:footerReference r:id="rId3" w:type="default"/>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40</w:t>
                </w:r>
                <w:r>
                  <w:rPr>
                    <w:lang w:val="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5F8E"/>
    <w:multiLevelType w:val="singleLevel"/>
    <w:tmpl w:val="92395F8E"/>
    <w:lvl w:ilvl="0" w:tentative="0">
      <w:start w:val="3"/>
      <w:numFmt w:val="decimal"/>
      <w:suff w:val="nothing"/>
      <w:lvlText w:val="%1、"/>
      <w:lvlJc w:val="left"/>
    </w:lvl>
  </w:abstractNum>
  <w:abstractNum w:abstractNumId="1">
    <w:nsid w:val="C08BF673"/>
    <w:multiLevelType w:val="singleLevel"/>
    <w:tmpl w:val="C08BF673"/>
    <w:lvl w:ilvl="0" w:tentative="0">
      <w:start w:val="1"/>
      <w:numFmt w:val="chineseCounting"/>
      <w:suff w:val="nothing"/>
      <w:lvlText w:val="%1、"/>
      <w:lvlJc w:val="left"/>
      <w:rPr>
        <w:rFonts w:hint="eastAsia"/>
      </w:rPr>
    </w:lvl>
  </w:abstractNum>
  <w:abstractNum w:abstractNumId="2">
    <w:nsid w:val="ED9FE61E"/>
    <w:multiLevelType w:val="singleLevel"/>
    <w:tmpl w:val="ED9FE61E"/>
    <w:lvl w:ilvl="0" w:tentative="0">
      <w:start w:val="1"/>
      <w:numFmt w:val="decimal"/>
      <w:suff w:val="nothing"/>
      <w:lvlText w:val="%1、"/>
      <w:lvlJc w:val="left"/>
    </w:lvl>
  </w:abstractNum>
  <w:abstractNum w:abstractNumId="3">
    <w:nsid w:val="3F8DB209"/>
    <w:multiLevelType w:val="singleLevel"/>
    <w:tmpl w:val="3F8DB209"/>
    <w:lvl w:ilvl="0" w:tentative="0">
      <w:start w:val="3"/>
      <w:numFmt w:val="decimal"/>
      <w:suff w:val="nothing"/>
      <w:lvlText w:val="%1、"/>
      <w:lvlJc w:val="left"/>
    </w:lvl>
  </w:abstractNum>
  <w:abstractNum w:abstractNumId="4">
    <w:nsid w:val="5D497C9E"/>
    <w:multiLevelType w:val="multilevel"/>
    <w:tmpl w:val="5D497C9E"/>
    <w:lvl w:ilvl="0" w:tentative="0">
      <w:start w:val="1"/>
      <w:numFmt w:val="chineseCountingThousand"/>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3"/>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IzN2FlZGQyNmExMDc1YTc1OWIxYmFlNmE1NTFhMT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3BC4EA5"/>
    <w:rsid w:val="03C84B20"/>
    <w:rsid w:val="04B15D87"/>
    <w:rsid w:val="04BF0E2D"/>
    <w:rsid w:val="04FC263C"/>
    <w:rsid w:val="058519D7"/>
    <w:rsid w:val="061D51A5"/>
    <w:rsid w:val="061E2864"/>
    <w:rsid w:val="076646E5"/>
    <w:rsid w:val="07986998"/>
    <w:rsid w:val="084B5379"/>
    <w:rsid w:val="08F913E5"/>
    <w:rsid w:val="091E5277"/>
    <w:rsid w:val="09920CE1"/>
    <w:rsid w:val="09CB578A"/>
    <w:rsid w:val="0C1D374F"/>
    <w:rsid w:val="0CA81A28"/>
    <w:rsid w:val="0F427144"/>
    <w:rsid w:val="0F9C6A6C"/>
    <w:rsid w:val="1124087B"/>
    <w:rsid w:val="11D03062"/>
    <w:rsid w:val="125104AB"/>
    <w:rsid w:val="127E35D2"/>
    <w:rsid w:val="1323618E"/>
    <w:rsid w:val="13922B04"/>
    <w:rsid w:val="15F0193F"/>
    <w:rsid w:val="16586A57"/>
    <w:rsid w:val="16EF2001"/>
    <w:rsid w:val="17972177"/>
    <w:rsid w:val="17B96491"/>
    <w:rsid w:val="19006747"/>
    <w:rsid w:val="1A6902E3"/>
    <w:rsid w:val="1B951E05"/>
    <w:rsid w:val="1C0A168B"/>
    <w:rsid w:val="1C8C20A0"/>
    <w:rsid w:val="1DEA1774"/>
    <w:rsid w:val="1E727C26"/>
    <w:rsid w:val="1ED557B3"/>
    <w:rsid w:val="1F0548A5"/>
    <w:rsid w:val="203F5CE6"/>
    <w:rsid w:val="20A43E5C"/>
    <w:rsid w:val="20C836D6"/>
    <w:rsid w:val="252A6495"/>
    <w:rsid w:val="25DC4098"/>
    <w:rsid w:val="26614AE7"/>
    <w:rsid w:val="26A36964"/>
    <w:rsid w:val="27A63845"/>
    <w:rsid w:val="2C0B329E"/>
    <w:rsid w:val="2DCF6290"/>
    <w:rsid w:val="2EE23DA1"/>
    <w:rsid w:val="2FC46A81"/>
    <w:rsid w:val="32E87DD1"/>
    <w:rsid w:val="333746BC"/>
    <w:rsid w:val="33F15215"/>
    <w:rsid w:val="35584BB1"/>
    <w:rsid w:val="35DC779C"/>
    <w:rsid w:val="36F20F59"/>
    <w:rsid w:val="36FF0897"/>
    <w:rsid w:val="37F53C76"/>
    <w:rsid w:val="38620F4A"/>
    <w:rsid w:val="395D6E46"/>
    <w:rsid w:val="3A0D6176"/>
    <w:rsid w:val="3A5C534F"/>
    <w:rsid w:val="3AA307AA"/>
    <w:rsid w:val="3B3C0996"/>
    <w:rsid w:val="3D4A148F"/>
    <w:rsid w:val="3D766728"/>
    <w:rsid w:val="3F351791"/>
    <w:rsid w:val="414C270F"/>
    <w:rsid w:val="41D82FF7"/>
    <w:rsid w:val="42417305"/>
    <w:rsid w:val="43AB1C34"/>
    <w:rsid w:val="43BD2D6E"/>
    <w:rsid w:val="43F47C2B"/>
    <w:rsid w:val="442D7AA8"/>
    <w:rsid w:val="456D5B99"/>
    <w:rsid w:val="45B222C8"/>
    <w:rsid w:val="464C44CA"/>
    <w:rsid w:val="46AB0BAA"/>
    <w:rsid w:val="4864401C"/>
    <w:rsid w:val="48645AFB"/>
    <w:rsid w:val="49E05655"/>
    <w:rsid w:val="4A9B7985"/>
    <w:rsid w:val="4AFE12BB"/>
    <w:rsid w:val="4B2C08F7"/>
    <w:rsid w:val="4B86017E"/>
    <w:rsid w:val="4BB26B7D"/>
    <w:rsid w:val="4EAB72E4"/>
    <w:rsid w:val="4EDB63EB"/>
    <w:rsid w:val="4F835253"/>
    <w:rsid w:val="50430A48"/>
    <w:rsid w:val="50CF01D2"/>
    <w:rsid w:val="50D4246D"/>
    <w:rsid w:val="51E24360"/>
    <w:rsid w:val="52957526"/>
    <w:rsid w:val="539C47DE"/>
    <w:rsid w:val="54A656ED"/>
    <w:rsid w:val="55B04499"/>
    <w:rsid w:val="564451BE"/>
    <w:rsid w:val="56576C9F"/>
    <w:rsid w:val="57A36574"/>
    <w:rsid w:val="58D72375"/>
    <w:rsid w:val="592D3875"/>
    <w:rsid w:val="596D4A2C"/>
    <w:rsid w:val="59863BF8"/>
    <w:rsid w:val="5A1D1FAE"/>
    <w:rsid w:val="5A7367E0"/>
    <w:rsid w:val="5AA12BDF"/>
    <w:rsid w:val="5BF233C2"/>
    <w:rsid w:val="5D924A61"/>
    <w:rsid w:val="5DAF6DF6"/>
    <w:rsid w:val="5E6F3AB2"/>
    <w:rsid w:val="5EB32163"/>
    <w:rsid w:val="5EEC01A1"/>
    <w:rsid w:val="5FAF0970"/>
    <w:rsid w:val="61E865CA"/>
    <w:rsid w:val="62C456BC"/>
    <w:rsid w:val="63750765"/>
    <w:rsid w:val="64F466B7"/>
    <w:rsid w:val="654C0859"/>
    <w:rsid w:val="65896C70"/>
    <w:rsid w:val="65B0017A"/>
    <w:rsid w:val="669F17AA"/>
    <w:rsid w:val="677734BF"/>
    <w:rsid w:val="698C35ED"/>
    <w:rsid w:val="6AD77E43"/>
    <w:rsid w:val="6D072008"/>
    <w:rsid w:val="6FA3415F"/>
    <w:rsid w:val="712E3A4E"/>
    <w:rsid w:val="71BA3A22"/>
    <w:rsid w:val="71CD3E62"/>
    <w:rsid w:val="724D0AFE"/>
    <w:rsid w:val="72B648F6"/>
    <w:rsid w:val="72E83474"/>
    <w:rsid w:val="72F62F44"/>
    <w:rsid w:val="75A35A24"/>
    <w:rsid w:val="77A47413"/>
    <w:rsid w:val="78362761"/>
    <w:rsid w:val="78BC52C2"/>
    <w:rsid w:val="79C72A21"/>
    <w:rsid w:val="79D00993"/>
    <w:rsid w:val="79F966D5"/>
    <w:rsid w:val="7A8D0632"/>
    <w:rsid w:val="7D311748"/>
    <w:rsid w:val="7D531607"/>
    <w:rsid w:val="7DBF4FA6"/>
    <w:rsid w:val="7E036272"/>
    <w:rsid w:val="7E7A2C7B"/>
    <w:rsid w:val="7EEE556E"/>
    <w:rsid w:val="7EFA0DDF"/>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4"/>
    <w:basedOn w:val="1"/>
    <w:next w:val="1"/>
    <w:autoRedefine/>
    <w:qFormat/>
    <w:uiPriority w:val="0"/>
    <w:pPr>
      <w:keepNext/>
      <w:keepLines/>
      <w:numPr>
        <w:ilvl w:val="3"/>
        <w:numId w:val="1"/>
      </w:numPr>
      <w:spacing w:line="540" w:lineRule="atLeast"/>
      <w:outlineLvl w:val="3"/>
    </w:pPr>
    <w:rPr>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rPr>
      <w:szCs w:val="20"/>
    </w:rPr>
  </w:style>
  <w:style w:type="paragraph" w:styleId="5">
    <w:name w:val="Body Text"/>
    <w:basedOn w:val="1"/>
    <w:next w:val="6"/>
    <w:autoRedefine/>
    <w:qFormat/>
    <w:uiPriority w:val="0"/>
    <w:pPr>
      <w:spacing w:after="120" w:afterLines="0"/>
    </w:pPr>
  </w:style>
  <w:style w:type="paragraph" w:styleId="6">
    <w:name w:val="Body Text First Indent"/>
    <w:basedOn w:val="5"/>
    <w:autoRedefine/>
    <w:qFormat/>
    <w:uiPriority w:val="0"/>
    <w:pPr>
      <w:ind w:firstLine="420" w:firstLineChars="100"/>
    </w:pPr>
    <w:rPr>
      <w:b/>
      <w:bCs/>
      <w:szCs w:val="24"/>
    </w:rPr>
  </w:style>
  <w:style w:type="paragraph" w:styleId="7">
    <w:name w:val="Body Text Indent"/>
    <w:basedOn w:val="1"/>
    <w:next w:val="1"/>
    <w:autoRedefine/>
    <w:qFormat/>
    <w:uiPriority w:val="0"/>
    <w:pPr>
      <w:spacing w:line="200" w:lineRule="exact"/>
      <w:ind w:firstLine="301"/>
    </w:pPr>
    <w:rPr>
      <w:rFonts w:ascii="宋体" w:hAnsi="Courier New"/>
      <w:spacing w:val="-4"/>
      <w:sz w:val="18"/>
      <w:szCs w:val="20"/>
      <w14:ligatures w14:val="none"/>
    </w:rPr>
  </w:style>
  <w:style w:type="paragraph" w:styleId="8">
    <w:name w:val="Plain Text"/>
    <w:basedOn w:val="1"/>
    <w:next w:val="9"/>
    <w:autoRedefine/>
    <w:qFormat/>
    <w:uiPriority w:val="0"/>
    <w:pPr>
      <w:spacing w:beforeLines="50" w:afterLines="50" w:line="400" w:lineRule="exact"/>
    </w:pPr>
    <w:rPr>
      <w:rFonts w:ascii="宋体" w:hAnsi="Courier New"/>
      <w:sz w:val="24"/>
    </w:rPr>
  </w:style>
  <w:style w:type="paragraph" w:styleId="9">
    <w:name w:val="toc 2"/>
    <w:basedOn w:val="1"/>
    <w:next w:val="1"/>
    <w:autoRedefine/>
    <w:qFormat/>
    <w:uiPriority w:val="0"/>
    <w:pPr>
      <w:ind w:left="420" w:leftChars="200"/>
    </w:pPr>
  </w:style>
  <w:style w:type="paragraph" w:styleId="10">
    <w:name w:val="footer"/>
    <w:basedOn w:val="1"/>
    <w:link w:val="28"/>
    <w:autoRedefine/>
    <w:qFormat/>
    <w:uiPriority w:val="0"/>
    <w:pPr>
      <w:tabs>
        <w:tab w:val="center" w:pos="4153"/>
        <w:tab w:val="right" w:pos="8306"/>
      </w:tabs>
      <w:snapToGrid w:val="0"/>
      <w:jc w:val="left"/>
    </w:pPr>
    <w:rPr>
      <w:sz w:val="18"/>
      <w:szCs w:val="18"/>
    </w:rPr>
  </w:style>
  <w:style w:type="paragraph" w:styleId="11">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spacing w:before="120" w:after="120" w:line="360" w:lineRule="auto"/>
      <w:jc w:val="left"/>
    </w:pPr>
    <w:rPr>
      <w:b/>
      <w:bCs/>
      <w:caps/>
      <w:sz w:val="24"/>
      <w:szCs w:val="20"/>
    </w:rPr>
  </w:style>
  <w:style w:type="paragraph" w:styleId="13">
    <w:name w:val="toc 6"/>
    <w:basedOn w:val="1"/>
    <w:next w:val="1"/>
    <w:autoRedefine/>
    <w:qFormat/>
    <w:uiPriority w:val="0"/>
    <w:pPr>
      <w:ind w:left="2100" w:leftChars="1000"/>
    </w:pPr>
  </w:style>
  <w:style w:type="paragraph" w:styleId="1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Title"/>
    <w:basedOn w:val="1"/>
    <w:next w:val="1"/>
    <w:autoRedefine/>
    <w:qFormat/>
    <w:uiPriority w:val="0"/>
    <w:pPr>
      <w:jc w:val="center"/>
    </w:pPr>
    <w:rPr>
      <w:rFonts w:ascii="Arial" w:hAnsi="Arial" w:eastAsia="宋体"/>
      <w:b/>
      <w:kern w:val="0"/>
      <w:sz w:val="36"/>
      <w:szCs w:val="20"/>
      <w:lang w:eastAsia="en-US"/>
      <w14:ligatures w14:val="none"/>
    </w:rPr>
  </w:style>
  <w:style w:type="paragraph" w:styleId="16">
    <w:name w:val="Body Text First Indent 2"/>
    <w:basedOn w:val="7"/>
    <w:autoRedefine/>
    <w:qFormat/>
    <w:uiPriority w:val="0"/>
    <w:pPr>
      <w:spacing w:after="120"/>
      <w:ind w:left="420" w:leftChars="200" w:firstLine="420"/>
    </w:pPr>
    <w:rPr>
      <w:rFonts w:cs="宋体"/>
      <w:sz w:val="21"/>
      <w:szCs w:val="21"/>
    </w:rPr>
  </w:style>
  <w:style w:type="table" w:styleId="18">
    <w:name w:val="Table Grid"/>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rPr>
  </w:style>
  <w:style w:type="character" w:styleId="21">
    <w:name w:val="page number"/>
    <w:autoRedefine/>
    <w:qFormat/>
    <w:uiPriority w:val="0"/>
  </w:style>
  <w:style w:type="paragraph" w:customStyle="1" w:styleId="22">
    <w:name w:val="BodyText1I"/>
    <w:basedOn w:val="23"/>
    <w:autoRedefine/>
    <w:qFormat/>
    <w:uiPriority w:val="0"/>
    <w:pPr>
      <w:ind w:firstLine="420" w:firstLineChars="100"/>
    </w:pPr>
  </w:style>
  <w:style w:type="paragraph" w:customStyle="1" w:styleId="23">
    <w:name w:val="BodyText"/>
    <w:basedOn w:val="1"/>
    <w:autoRedefine/>
    <w:qFormat/>
    <w:uiPriority w:val="0"/>
    <w:pPr>
      <w:spacing w:after="120"/>
    </w:pPr>
  </w:style>
  <w:style w:type="paragraph" w:customStyle="1" w:styleId="24">
    <w:name w:val="表格文字"/>
    <w:basedOn w:val="1"/>
    <w:next w:val="25"/>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paragraph" w:customStyle="1" w:styleId="25">
    <w:name w:val="正文文本1"/>
    <w:next w:val="26"/>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zh-TW" w:eastAsia="zh-TW"/>
    </w:rPr>
  </w:style>
  <w:style w:type="paragraph" w:customStyle="1" w:styleId="26">
    <w:name w:val="正文 A"/>
    <w:next w:val="24"/>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宋体" w:hAnsi="宋体" w:eastAsia="宋体" w:cs="宋体"/>
      <w:color w:val="000000"/>
      <w:spacing w:val="0"/>
      <w:w w:val="100"/>
      <w:kern w:val="0"/>
      <w:position w:val="0"/>
      <w:sz w:val="22"/>
      <w:szCs w:val="22"/>
      <w:u w:val="none" w:color="000000"/>
      <w:shd w:val="clear" w:color="auto" w:fill="auto"/>
      <w:vertAlign w:val="baseline"/>
      <w:lang w:val="zh-TW" w:eastAsia="zh-TW"/>
    </w:rPr>
  </w:style>
  <w:style w:type="character" w:customStyle="1" w:styleId="27">
    <w:name w:val="页眉 Char"/>
    <w:basedOn w:val="19"/>
    <w:link w:val="11"/>
    <w:autoRedefine/>
    <w:qFormat/>
    <w:uiPriority w:val="0"/>
    <w:rPr>
      <w:kern w:val="2"/>
      <w:sz w:val="18"/>
      <w:szCs w:val="18"/>
    </w:rPr>
  </w:style>
  <w:style w:type="character" w:customStyle="1" w:styleId="28">
    <w:name w:val="页脚 Char"/>
    <w:basedOn w:val="19"/>
    <w:link w:val="10"/>
    <w:autoRedefine/>
    <w:qFormat/>
    <w:uiPriority w:val="0"/>
    <w:rPr>
      <w:kern w:val="2"/>
      <w:sz w:val="18"/>
      <w:szCs w:val="18"/>
    </w:rPr>
  </w:style>
  <w:style w:type="paragraph" w:styleId="29">
    <w:name w:val="List Paragraph"/>
    <w:basedOn w:val="1"/>
    <w:autoRedefine/>
    <w:qFormat/>
    <w:uiPriority w:val="0"/>
    <w:pPr>
      <w:ind w:firstLine="420" w:firstLineChars="200"/>
    </w:pPr>
    <w:rPr>
      <w:rFonts w:ascii="Calibri" w:hAnsi="Calibri"/>
      <w:szCs w:val="22"/>
    </w:rPr>
  </w:style>
  <w:style w:type="paragraph" w:customStyle="1" w:styleId="30">
    <w:name w:val="列出段落1"/>
    <w:basedOn w:val="1"/>
    <w:autoRedefine/>
    <w:qFormat/>
    <w:uiPriority w:val="0"/>
    <w:pPr>
      <w:widowControl/>
      <w:spacing w:after="160" w:line="360" w:lineRule="auto"/>
      <w:ind w:left="720"/>
      <w:contextualSpacing/>
      <w:jc w:val="left"/>
    </w:pPr>
    <w:rPr>
      <w:szCs w:val="22"/>
    </w:rPr>
  </w:style>
  <w:style w:type="paragraph" w:customStyle="1" w:styleId="31">
    <w:name w:val="Body Text First Indent 21"/>
    <w:basedOn w:val="1"/>
    <w:autoRedefine/>
    <w:qFormat/>
    <w:uiPriority w:val="0"/>
    <w:pPr>
      <w:autoSpaceDE w:val="0"/>
      <w:autoSpaceDN w:val="0"/>
      <w:adjustRightInd w:val="0"/>
      <w:spacing w:after="120"/>
      <w:ind w:left="420" w:leftChars="200" w:firstLine="420"/>
    </w:pPr>
    <w:rPr>
      <w:rFonts w:ascii="宋体" w:hAnsi="宋体" w:cs="宋体"/>
      <w:sz w:val="2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4078</Words>
  <Characters>4206</Characters>
  <Lines>17</Lines>
  <Paragraphs>4</Paragraphs>
  <TotalTime>12</TotalTime>
  <ScaleCrop>false</ScaleCrop>
  <LinksUpToDate>false</LinksUpToDate>
  <CharactersWithSpaces>4356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市渔业应急处置指挥中心</cp:lastModifiedBy>
  <dcterms:modified xsi:type="dcterms:W3CDTF">2026-04-30T07:15:53Z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BDC350B777C44DFDACB8FBB696258D1E</vt:lpwstr>
  </property>
  <property fmtid="{D5CDD505-2E9C-101B-9397-08002B2CF9AE}" pid="4" name="KSOTemplateDocerSaveRecord">
    <vt:lpwstr>eyJoZGlkIjoiODFhZDQ4MzcxZmI2ZTJlM2Q5Yjk0M2E5ZWNkZTZiMzkiLCJ1c2VySWQiOiIxMjM0ODYyMDI3In0=</vt:lpwstr>
  </property>
</Properties>
</file>