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spacing w:line="500" w:lineRule="exact"/>
        <w:rPr>
          <w:rFonts w:hint="default" w:ascii="宋体" w:hAnsi="宋体" w:eastAsia="宋体" w:cs="宋体"/>
          <w:b/>
          <w:bCs/>
          <w:sz w:val="24"/>
          <w:u w:val="none"/>
          <w:lang w:val="en-US" w:eastAsia="zh-CN"/>
        </w:rPr>
      </w:pPr>
      <w:r>
        <w:rPr>
          <w:rFonts w:hint="eastAsia" w:ascii="宋体" w:hAnsi="宋体" w:eastAsia="宋体" w:cs="宋体"/>
          <w:b/>
          <w:bCs/>
          <w:sz w:val="24"/>
        </w:rPr>
        <w:t>一、项目名称：</w:t>
      </w:r>
      <w:r>
        <w:rPr>
          <w:rFonts w:hint="eastAsia"/>
          <w:b/>
          <w:sz w:val="24"/>
        </w:rPr>
        <w:t>膏方包装机</w:t>
      </w:r>
      <w:r>
        <w:rPr>
          <w:rFonts w:hint="eastAsia" w:ascii="宋体" w:hAnsi="宋体" w:eastAsia="宋体" w:cs="宋体"/>
          <w:b/>
          <w:bCs/>
          <w:sz w:val="24"/>
          <w:u w:val="none"/>
          <w:lang w:val="en-US" w:eastAsia="zh-CN"/>
        </w:rPr>
        <w:t>采购</w:t>
      </w:r>
    </w:p>
    <w:p>
      <w:pPr>
        <w:pStyle w:val="8"/>
        <w:spacing w:line="360" w:lineRule="auto"/>
        <w:ind w:firstLine="0" w:firstLineChars="0"/>
        <w:rPr>
          <w:rFonts w:hint="default" w:ascii="宋体" w:hAnsi="宋体" w:eastAsia="宋体" w:cs="宋体"/>
          <w:b/>
          <w:bCs/>
          <w:sz w:val="24"/>
          <w:lang w:val="en-US" w:eastAsia="zh-CN"/>
        </w:rPr>
      </w:pPr>
      <w:r>
        <w:rPr>
          <w:rFonts w:hint="eastAsia" w:ascii="宋体" w:hAnsi="宋体" w:eastAsia="宋体" w:cs="宋体"/>
          <w:b/>
          <w:bCs/>
          <w:sz w:val="24"/>
          <w:lang w:val="en-US" w:eastAsia="zh-CN"/>
        </w:rPr>
        <w:t>二</w:t>
      </w:r>
      <w:r>
        <w:rPr>
          <w:rFonts w:hint="eastAsia" w:ascii="宋体" w:hAnsi="宋体" w:eastAsia="宋体" w:cs="宋体"/>
          <w:b/>
          <w:bCs/>
          <w:sz w:val="24"/>
        </w:rPr>
        <w:t>、项目预算：</w:t>
      </w:r>
      <w:r>
        <w:rPr>
          <w:rFonts w:hint="eastAsia" w:ascii="宋体" w:hAnsi="宋体" w:eastAsia="宋体" w:cs="宋体"/>
          <w:b/>
          <w:bCs/>
          <w:sz w:val="24"/>
          <w:lang w:val="en-US" w:eastAsia="zh-CN"/>
        </w:rPr>
        <w:t>30000元</w:t>
      </w:r>
    </w:p>
    <w:p>
      <w:pPr>
        <w:pStyle w:val="8"/>
        <w:spacing w:line="360" w:lineRule="auto"/>
        <w:ind w:firstLine="0" w:firstLineChars="0"/>
        <w:rPr>
          <w:rFonts w:hint="eastAsia" w:ascii="宋体" w:hAnsi="宋体" w:eastAsia="宋体" w:cs="宋体"/>
          <w:b/>
          <w:bCs/>
        </w:rPr>
      </w:pPr>
      <w:r>
        <w:rPr>
          <w:rFonts w:hint="eastAsia" w:ascii="宋体" w:hAnsi="宋体" w:eastAsia="宋体" w:cs="宋体"/>
          <w:b/>
          <w:bCs/>
          <w:sz w:val="24"/>
          <w:lang w:val="en-US" w:eastAsia="zh-CN"/>
        </w:rPr>
        <w:t>三</w:t>
      </w:r>
      <w:r>
        <w:rPr>
          <w:rFonts w:hint="eastAsia" w:ascii="宋体" w:hAnsi="宋体" w:eastAsia="宋体" w:cs="宋体"/>
          <w:b/>
          <w:bCs/>
          <w:sz w:val="24"/>
        </w:rPr>
        <w:t>、项目概况及要求</w:t>
      </w:r>
      <w:r>
        <w:rPr>
          <w:rFonts w:hint="eastAsia" w:ascii="宋体" w:hAnsi="宋体" w:eastAsia="宋体" w:cs="宋体"/>
          <w:b/>
          <w:bCs/>
        </w:rPr>
        <w:t>：</w:t>
      </w:r>
    </w:p>
    <w:tbl>
      <w:tblPr>
        <w:tblStyle w:val="9"/>
        <w:tblW w:w="51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521"/>
        <w:gridCol w:w="1033"/>
        <w:gridCol w:w="952"/>
        <w:gridCol w:w="6217"/>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blHeader/>
        </w:trPr>
        <w:tc>
          <w:tcPr>
            <w:tcW w:w="294" w:type="pct"/>
            <w:shd w:val="clear" w:color="auto" w:fill="auto"/>
            <w:vAlign w:val="center"/>
          </w:tcPr>
          <w:p>
            <w:pPr>
              <w:widowControl/>
              <w:spacing w:line="440" w:lineRule="exact"/>
              <w:jc w:val="center"/>
              <w:rPr>
                <w:rFonts w:ascii="宋体" w:hAnsi="宋体" w:eastAsia="宋体" w:cs="宋体"/>
                <w:b/>
                <w:bCs/>
                <w:sz w:val="24"/>
              </w:rPr>
            </w:pPr>
            <w:r>
              <w:rPr>
                <w:rFonts w:hint="eastAsia" w:ascii="宋体" w:hAnsi="宋体" w:cs="宋体"/>
                <w:b/>
                <w:bCs/>
                <w:sz w:val="24"/>
              </w:rPr>
              <w:t>序</w:t>
            </w:r>
            <w:r>
              <w:rPr>
                <w:rFonts w:hint="eastAsia" w:ascii="宋体" w:hAnsi="宋体" w:eastAsia="宋体" w:cs="宋体"/>
                <w:b/>
                <w:bCs/>
                <w:sz w:val="24"/>
              </w:rPr>
              <w:t>号</w:t>
            </w:r>
          </w:p>
        </w:tc>
        <w:tc>
          <w:tcPr>
            <w:tcW w:w="511" w:type="pct"/>
            <w:shd w:val="clear" w:color="auto" w:fill="auto"/>
            <w:vAlign w:val="center"/>
          </w:tcPr>
          <w:p>
            <w:pPr>
              <w:spacing w:line="440" w:lineRule="exact"/>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产品名称</w:t>
            </w:r>
          </w:p>
        </w:tc>
        <w:tc>
          <w:tcPr>
            <w:tcW w:w="347" w:type="pct"/>
            <w:shd w:val="clear" w:color="auto" w:fill="auto"/>
            <w:vAlign w:val="center"/>
          </w:tcPr>
          <w:p>
            <w:pPr>
              <w:spacing w:line="440" w:lineRule="exact"/>
              <w:jc w:val="center"/>
              <w:rPr>
                <w:rFonts w:ascii="宋体" w:hAnsi="宋体" w:eastAsia="宋体" w:cs="宋体"/>
                <w:b/>
                <w:bCs/>
                <w:sz w:val="24"/>
              </w:rPr>
            </w:pPr>
            <w:r>
              <w:rPr>
                <w:rFonts w:hint="eastAsia" w:ascii="宋体" w:hAnsi="宋体" w:eastAsia="宋体" w:cs="宋体"/>
                <w:b/>
                <w:bCs/>
                <w:sz w:val="24"/>
              </w:rPr>
              <w:t>数量</w:t>
            </w:r>
          </w:p>
        </w:tc>
        <w:tc>
          <w:tcPr>
            <w:tcW w:w="320" w:type="pct"/>
            <w:vAlign w:val="center"/>
          </w:tcPr>
          <w:p>
            <w:pPr>
              <w:spacing w:line="440" w:lineRule="exact"/>
              <w:jc w:val="center"/>
              <w:rPr>
                <w:rFonts w:ascii="宋体" w:hAnsi="宋体" w:eastAsia="宋体" w:cs="宋体"/>
                <w:b/>
                <w:bCs/>
                <w:sz w:val="24"/>
              </w:rPr>
            </w:pPr>
            <w:r>
              <w:rPr>
                <w:rFonts w:hint="eastAsia" w:ascii="宋体" w:hAnsi="宋体" w:eastAsia="宋体" w:cs="宋体"/>
                <w:b/>
                <w:bCs/>
                <w:sz w:val="24"/>
              </w:rPr>
              <w:t>单位</w:t>
            </w:r>
          </w:p>
        </w:tc>
        <w:tc>
          <w:tcPr>
            <w:tcW w:w="2089" w:type="pct"/>
            <w:shd w:val="clear" w:color="auto" w:fill="auto"/>
            <w:vAlign w:val="center"/>
          </w:tcPr>
          <w:p>
            <w:pPr>
              <w:spacing w:line="440" w:lineRule="exact"/>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参数要求</w:t>
            </w:r>
          </w:p>
        </w:tc>
        <w:tc>
          <w:tcPr>
            <w:tcW w:w="1437" w:type="pct"/>
            <w:shd w:val="clear" w:color="auto" w:fill="auto"/>
            <w:vAlign w:val="center"/>
          </w:tcPr>
          <w:p>
            <w:pPr>
              <w:spacing w:line="440" w:lineRule="exact"/>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样式图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7" w:hRule="atLeast"/>
          <w:tblHeader/>
        </w:trPr>
        <w:tc>
          <w:tcPr>
            <w:tcW w:w="294" w:type="pct"/>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1</w:t>
            </w:r>
          </w:p>
        </w:tc>
        <w:tc>
          <w:tcPr>
            <w:tcW w:w="511" w:type="pct"/>
            <w:shd w:val="clear" w:color="auto" w:fill="auto"/>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膏方包装机</w:t>
            </w:r>
          </w:p>
        </w:tc>
        <w:tc>
          <w:tcPr>
            <w:tcW w:w="347" w:type="pct"/>
            <w:shd w:val="clear" w:color="auto" w:fill="auto"/>
            <w:vAlign w:val="center"/>
          </w:tcPr>
          <w:p>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c>
          <w:tcPr>
            <w:tcW w:w="320" w:type="pct"/>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台</w:t>
            </w:r>
          </w:p>
        </w:tc>
        <w:tc>
          <w:tcPr>
            <w:tcW w:w="2089" w:type="pct"/>
            <w:shd w:val="clear" w:color="auto" w:fill="auto"/>
            <w:vAlign w:val="center"/>
          </w:tcPr>
          <w:p>
            <w:pPr>
              <w:spacing w:line="500" w:lineRule="exact"/>
              <w:rPr>
                <w:rFonts w:hint="eastAsia" w:ascii="宋体" w:hAnsi="宋体" w:eastAsiaTheme="minorEastAsia"/>
                <w:sz w:val="24"/>
                <w:szCs w:val="24"/>
                <w:lang w:eastAsia="zh-CN"/>
              </w:rPr>
            </w:pPr>
            <w:r>
              <w:rPr>
                <w:rFonts w:hint="eastAsia" w:ascii="宋体" w:hAnsi="宋体"/>
                <w:sz w:val="24"/>
                <w:szCs w:val="24"/>
                <w:lang w:val="en-US" w:eastAsia="zh-CN"/>
              </w:rPr>
              <w:t>1）</w:t>
            </w:r>
            <w:r>
              <w:rPr>
                <w:rFonts w:hint="eastAsia" w:ascii="宋体" w:hAnsi="宋体"/>
                <w:sz w:val="24"/>
                <w:szCs w:val="24"/>
              </w:rPr>
              <w:t>包装量：10-50ml</w:t>
            </w:r>
            <w:r>
              <w:rPr>
                <w:rFonts w:hint="eastAsia" w:ascii="宋体" w:hAnsi="宋体"/>
                <w:sz w:val="24"/>
                <w:szCs w:val="24"/>
                <w:lang w:eastAsia="zh-CN"/>
              </w:rPr>
              <w:t>，</w:t>
            </w:r>
            <w:r>
              <w:rPr>
                <w:rFonts w:hint="eastAsia" w:ascii="宋体" w:hAnsi="宋体"/>
                <w:sz w:val="24"/>
                <w:szCs w:val="24"/>
              </w:rPr>
              <w:t>可调整包装容量</w:t>
            </w:r>
          </w:p>
          <w:p>
            <w:pPr>
              <w:spacing w:line="50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功率：</w:t>
            </w:r>
            <w:r>
              <w:rPr>
                <w:rFonts w:hint="default" w:ascii="Arial" w:hAnsi="Arial" w:cs="Arial"/>
                <w:sz w:val="24"/>
                <w:szCs w:val="24"/>
              </w:rPr>
              <w:t>≥</w:t>
            </w:r>
            <w:r>
              <w:rPr>
                <w:rFonts w:hint="eastAsia" w:ascii="宋体" w:hAnsi="宋体"/>
                <w:sz w:val="24"/>
                <w:szCs w:val="24"/>
                <w:lang w:val="en-US" w:eastAsia="zh-CN"/>
              </w:rPr>
              <w:t xml:space="preserve"> </w:t>
            </w:r>
            <w:r>
              <w:rPr>
                <w:rFonts w:hint="eastAsia" w:ascii="宋体" w:hAnsi="宋体"/>
                <w:sz w:val="24"/>
                <w:szCs w:val="24"/>
              </w:rPr>
              <w:t>2</w:t>
            </w:r>
            <w:r>
              <w:rPr>
                <w:rFonts w:hint="eastAsia" w:ascii="宋体" w:hAnsi="宋体"/>
                <w:sz w:val="24"/>
                <w:szCs w:val="24"/>
                <w:lang w:val="en-US" w:eastAsia="zh-CN"/>
              </w:rPr>
              <w:t>5</w:t>
            </w:r>
            <w:r>
              <w:rPr>
                <w:rFonts w:hint="eastAsia" w:ascii="宋体" w:hAnsi="宋体"/>
                <w:sz w:val="24"/>
                <w:szCs w:val="24"/>
              </w:rPr>
              <w:t>00W</w:t>
            </w:r>
          </w:p>
          <w:p>
            <w:pPr>
              <w:spacing w:line="500" w:lineRule="exac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电压：AC220V</w:t>
            </w:r>
          </w:p>
          <w:p>
            <w:pPr>
              <w:spacing w:line="500" w:lineRule="exact"/>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尺寸：560*560*1300（mm</w:t>
            </w:r>
            <w:r>
              <w:rPr>
                <w:rFonts w:ascii="宋体" w:hAnsi="宋体"/>
                <w:sz w:val="24"/>
                <w:szCs w:val="24"/>
              </w:rPr>
              <w:t>）</w:t>
            </w:r>
          </w:p>
          <w:p>
            <w:pPr>
              <w:spacing w:line="500" w:lineRule="exact"/>
              <w:rPr>
                <w:rFonts w:hint="eastAsia" w:ascii="宋体" w:hAnsi="宋体"/>
                <w:sz w:val="24"/>
                <w:szCs w:val="24"/>
              </w:rPr>
            </w:pPr>
            <w:r>
              <w:rPr>
                <w:rFonts w:hint="eastAsia" w:ascii="宋体" w:hAnsi="宋体"/>
                <w:sz w:val="24"/>
                <w:szCs w:val="24"/>
                <w:lang w:val="en-US" w:eastAsia="zh-CN"/>
              </w:rPr>
              <w:t>5）实现</w:t>
            </w:r>
            <w:r>
              <w:rPr>
                <w:rFonts w:hint="eastAsia" w:ascii="宋体" w:hAnsi="宋体"/>
                <w:sz w:val="24"/>
                <w:szCs w:val="24"/>
              </w:rPr>
              <w:t>自动包装，</w:t>
            </w:r>
            <w:r>
              <w:rPr>
                <w:rFonts w:hint="eastAsia" w:ascii="宋体" w:hAnsi="宋体"/>
                <w:sz w:val="24"/>
                <w:szCs w:val="24"/>
                <w:lang w:val="en-US" w:eastAsia="zh-CN"/>
              </w:rPr>
              <w:t>保证</w:t>
            </w:r>
            <w:r>
              <w:rPr>
                <w:rFonts w:hint="eastAsia" w:ascii="宋体" w:hAnsi="宋体"/>
                <w:sz w:val="24"/>
                <w:szCs w:val="24"/>
              </w:rPr>
              <w:t>卫生健康。</w:t>
            </w:r>
          </w:p>
          <w:p>
            <w:pPr>
              <w:spacing w:line="500" w:lineRule="exact"/>
              <w:rPr>
                <w:rFonts w:hint="eastAsia" w:ascii="宋体" w:hAnsi="宋体"/>
                <w:sz w:val="24"/>
                <w:szCs w:val="24"/>
              </w:rPr>
            </w:pPr>
            <w:r>
              <w:rPr>
                <w:rFonts w:hint="eastAsia" w:ascii="宋体" w:hAnsi="宋体"/>
                <w:sz w:val="24"/>
                <w:szCs w:val="24"/>
                <w:lang w:val="en-US" w:eastAsia="zh-CN"/>
              </w:rPr>
              <w:t>6）能实现</w:t>
            </w:r>
            <w:r>
              <w:rPr>
                <w:rFonts w:hint="eastAsia" w:ascii="宋体" w:hAnsi="宋体"/>
                <w:sz w:val="24"/>
                <w:szCs w:val="24"/>
              </w:rPr>
              <w:t>包装温度、包装袋数自动显示。</w:t>
            </w:r>
          </w:p>
          <w:p>
            <w:pPr>
              <w:spacing w:line="500" w:lineRule="exact"/>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封合温度数字化控制。</w:t>
            </w:r>
          </w:p>
          <w:p>
            <w:pPr>
              <w:numPr>
                <w:numId w:val="0"/>
              </w:numPr>
              <w:spacing w:line="500" w:lineRule="exact"/>
              <w:ind w:leftChars="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适用于粘稠液和膏方包装。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sz w:val="24"/>
                <w:lang w:eastAsia="zh-CN"/>
              </w:rPr>
            </w:pPr>
          </w:p>
        </w:tc>
        <w:tc>
          <w:tcPr>
            <w:tcW w:w="14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eastAsiaTheme="minorEastAsia"/>
                <w:sz w:val="24"/>
                <w:highlight w:val="yellow"/>
                <w:lang w:eastAsia="zh-CN"/>
              </w:rPr>
            </w:pPr>
            <w:bookmarkStart w:id="0" w:name="_GoBack"/>
            <w:r>
              <w:drawing>
                <wp:anchor distT="0" distB="0" distL="114300" distR="114300" simplePos="0" relativeHeight="251659264" behindDoc="1" locked="0" layoutInCell="1" allowOverlap="1">
                  <wp:simplePos x="0" y="0"/>
                  <wp:positionH relativeFrom="column">
                    <wp:posOffset>418465</wp:posOffset>
                  </wp:positionH>
                  <wp:positionV relativeFrom="paragraph">
                    <wp:posOffset>83185</wp:posOffset>
                  </wp:positionV>
                  <wp:extent cx="2010410" cy="3362325"/>
                  <wp:effectExtent l="0" t="0" r="8890" b="9525"/>
                  <wp:wrapTight wrapText="bothSides">
                    <wp:wrapPolygon>
                      <wp:start x="0" y="0"/>
                      <wp:lineTo x="0" y="21539"/>
                      <wp:lineTo x="21491" y="21539"/>
                      <wp:lineTo x="21491" y="0"/>
                      <wp:lineTo x="0" y="0"/>
                    </wp:wrapPolygon>
                  </wp:wrapTight>
                  <wp:docPr id="2" name="图片 3" descr="膏方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膏方44444"/>
                          <pic:cNvPicPr>
                            <a:picLocks noChangeAspect="1"/>
                          </pic:cNvPicPr>
                        </pic:nvPicPr>
                        <pic:blipFill>
                          <a:blip r:embed="rId4"/>
                          <a:stretch>
                            <a:fillRect/>
                          </a:stretch>
                        </pic:blipFill>
                        <pic:spPr>
                          <a:xfrm>
                            <a:off x="0" y="0"/>
                            <a:ext cx="2010410" cy="3362325"/>
                          </a:xfrm>
                          <a:prstGeom prst="rect">
                            <a:avLst/>
                          </a:prstGeom>
                          <a:noFill/>
                          <a:ln>
                            <a:noFill/>
                          </a:ln>
                        </pic:spPr>
                      </pic:pic>
                    </a:graphicData>
                  </a:graphic>
                </wp:anchor>
              </w:drawing>
            </w:r>
            <w:bookmarkEnd w:id="0"/>
          </w:p>
        </w:tc>
      </w:tr>
    </w:tbl>
    <w:p>
      <w:pPr>
        <w:pStyle w:val="8"/>
        <w:ind w:firstLine="0" w:firstLineChars="0"/>
        <w:rPr>
          <w:rFonts w:hint="default" w:ascii="宋体" w:hAnsi="宋体" w:eastAsia="宋体" w:cs="宋体"/>
          <w:sz w:val="24"/>
          <w:lang w:val="en-US" w:eastAsia="zh-CN"/>
        </w:rPr>
      </w:pPr>
    </w:p>
    <w:p>
      <w:pPr>
        <w:pStyle w:val="8"/>
        <w:numPr>
          <w:ilvl w:val="0"/>
          <w:numId w:val="1"/>
        </w:numPr>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付款方式：</w:t>
      </w:r>
    </w:p>
    <w:p>
      <w:pPr>
        <w:pStyle w:val="8"/>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发票，甲方在收到发票后</w:t>
      </w:r>
      <w:r>
        <w:rPr>
          <w:rFonts w:hint="eastAsia" w:ascii="宋体" w:hAnsi="宋体" w:eastAsia="宋体" w:cs="宋体"/>
          <w:sz w:val="24"/>
          <w:lang w:val="en-US" w:eastAsia="zh-CN"/>
        </w:rPr>
        <w:t>3个月</w:t>
      </w:r>
      <w:r>
        <w:rPr>
          <w:rFonts w:hint="default" w:ascii="宋体" w:hAnsi="宋体" w:eastAsia="宋体" w:cs="宋体"/>
          <w:sz w:val="24"/>
          <w:lang w:val="en-US" w:eastAsia="zh-CN"/>
        </w:rPr>
        <w:t>内向乙方支付全部合同价款。</w:t>
      </w:r>
    </w:p>
    <w:p>
      <w:pPr>
        <w:pStyle w:val="8"/>
        <w:numPr>
          <w:ilvl w:val="0"/>
          <w:numId w:val="1"/>
        </w:numPr>
        <w:spacing w:line="360" w:lineRule="auto"/>
        <w:ind w:left="0" w:leftChars="0" w:firstLine="0" w:firstLineChars="0"/>
        <w:rPr>
          <w:rFonts w:hint="eastAsia"/>
          <w:sz w:val="24"/>
          <w:szCs w:val="24"/>
          <w:lang w:eastAsia="zh-CN"/>
        </w:rPr>
      </w:pPr>
      <w:r>
        <w:rPr>
          <w:rFonts w:hint="eastAsia" w:ascii="宋体" w:hAnsi="宋体" w:eastAsia="宋体" w:cs="宋体"/>
          <w:b/>
          <w:bCs/>
          <w:sz w:val="24"/>
          <w:lang w:val="en-US" w:eastAsia="zh-CN"/>
        </w:rPr>
        <w:t>质保期≥1年</w:t>
      </w:r>
      <w:r>
        <w:rPr>
          <w:rFonts w:hint="eastAsia"/>
          <w:b/>
          <w:bCs/>
          <w:sz w:val="24"/>
          <w:szCs w:val="24"/>
        </w:rPr>
        <w:t>（自交货验收合格之日起计）</w:t>
      </w:r>
      <w:r>
        <w:rPr>
          <w:rFonts w:hint="eastAsia"/>
          <w:b/>
          <w:bCs/>
          <w:sz w:val="24"/>
          <w:szCs w:val="24"/>
          <w:lang w:eastAsia="zh-CN"/>
        </w:rPr>
        <w:t>。</w:t>
      </w:r>
    </w:p>
    <w:p>
      <w:pPr>
        <w:pStyle w:val="8"/>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六、质量保证及售后服务</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1、所供应的商品是最新生产的符合国家技术规格和质量标准的出厂原装合格产品。</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8"/>
        <w:numPr>
          <w:ilvl w:val="0"/>
          <w:numId w:val="0"/>
        </w:numPr>
        <w:spacing w:line="360" w:lineRule="auto"/>
        <w:rPr>
          <w:rFonts w:hint="default"/>
          <w:b/>
          <w:bCs/>
          <w:sz w:val="24"/>
          <w:szCs w:val="24"/>
          <w:lang w:val="en-US" w:eastAsia="zh-CN"/>
        </w:rPr>
      </w:pPr>
      <w:r>
        <w:rPr>
          <w:rFonts w:hint="eastAsia"/>
          <w:b/>
          <w:bCs/>
          <w:sz w:val="24"/>
          <w:szCs w:val="24"/>
          <w:lang w:val="en-US" w:eastAsia="zh-CN"/>
        </w:rPr>
        <w:t>七、</w:t>
      </w:r>
      <w:r>
        <w:rPr>
          <w:rFonts w:hint="default"/>
          <w:b/>
          <w:bCs/>
          <w:sz w:val="24"/>
          <w:szCs w:val="24"/>
          <w:lang w:val="en-US" w:eastAsia="zh-CN"/>
        </w:rPr>
        <w:t>货物的到货、安装、调试和验收</w:t>
      </w:r>
    </w:p>
    <w:p>
      <w:pPr>
        <w:pStyle w:val="8"/>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卖方必须在合同规定的时间内完成货物的供货。货物到达现场后，卖方必须派员到现场与买方一起开箱并按供货清单验收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8"/>
        <w:numPr>
          <w:ilvl w:val="0"/>
          <w:numId w:val="0"/>
        </w:numPr>
        <w:spacing w:line="360" w:lineRule="auto"/>
        <w:rPr>
          <w:rFonts w:hint="default"/>
          <w:b/>
          <w:bCs/>
          <w:sz w:val="24"/>
          <w:szCs w:val="24"/>
          <w:lang w:val="en-US" w:eastAsia="zh-CN"/>
        </w:rPr>
      </w:pPr>
      <w:r>
        <w:rPr>
          <w:rFonts w:hint="eastAsia"/>
          <w:b/>
          <w:bCs/>
          <w:sz w:val="24"/>
          <w:szCs w:val="24"/>
          <w:lang w:val="en-US" w:eastAsia="zh-CN"/>
        </w:rPr>
        <w:t>八、</w:t>
      </w:r>
      <w:r>
        <w:rPr>
          <w:rFonts w:hint="default"/>
          <w:b/>
          <w:bCs/>
          <w:sz w:val="24"/>
          <w:szCs w:val="24"/>
          <w:lang w:val="en-US" w:eastAsia="zh-CN"/>
        </w:rPr>
        <w:t>技术服务和人员培训</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合同规定的期限内，卖方应派遣有经验的工程技术人员在安装调试现场对买方指派人员进行操作和保养培训，使其能独立操作、维护、包养。培训计划方案（培训人数、时间、地点、教材、费用）应在投标文件中详细说明。其费用可单独报价，计入总价，如免费培训需在投标文件中作出说明。</w:t>
      </w:r>
    </w:p>
    <w:p>
      <w:pPr>
        <w:pStyle w:val="8"/>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质保期满后，卖方工程技术、维修人员也须不定期的进行回访，并为买方提供优质、优价的终身维修和产品维护保养。</w:t>
      </w:r>
    </w:p>
    <w:p>
      <w:pPr>
        <w:pStyle w:val="8"/>
        <w:numPr>
          <w:ilvl w:val="0"/>
          <w:numId w:val="0"/>
        </w:numPr>
        <w:spacing w:line="360" w:lineRule="auto"/>
        <w:rPr>
          <w:rFonts w:hint="eastAsia"/>
          <w:b/>
          <w:bCs/>
          <w:sz w:val="24"/>
          <w:szCs w:val="24"/>
          <w:lang w:val="en-US" w:eastAsia="zh-CN"/>
        </w:rPr>
      </w:pPr>
      <w:r>
        <w:rPr>
          <w:rFonts w:hint="eastAsia"/>
          <w:b/>
          <w:bCs/>
          <w:sz w:val="24"/>
          <w:szCs w:val="24"/>
          <w:lang w:val="en-US" w:eastAsia="zh-CN"/>
        </w:rPr>
        <w:t>九、其他</w:t>
      </w:r>
    </w:p>
    <w:p>
      <w:pPr>
        <w:pStyle w:val="8"/>
        <w:numPr>
          <w:ilvl w:val="0"/>
          <w:numId w:val="0"/>
        </w:numPr>
        <w:spacing w:line="360" w:lineRule="auto"/>
        <w:ind w:firstLine="480" w:firstLineChars="200"/>
        <w:rPr>
          <w:rFonts w:hint="default"/>
          <w:b w:val="0"/>
          <w:bCs w:val="0"/>
          <w:sz w:val="24"/>
          <w:szCs w:val="24"/>
          <w:u w:val="single"/>
          <w:lang w:val="en-US" w:eastAsia="zh-CN"/>
        </w:rPr>
      </w:pPr>
      <w:r>
        <w:rPr>
          <w:rFonts w:hint="eastAsia"/>
          <w:b w:val="0"/>
          <w:bCs w:val="0"/>
          <w:sz w:val="24"/>
          <w:szCs w:val="24"/>
          <w:lang w:val="en-US" w:eastAsia="zh-CN"/>
        </w:rPr>
        <w:t>1、合同签订后乙方须在</w:t>
      </w:r>
      <w:r>
        <w:rPr>
          <w:rFonts w:hint="eastAsia"/>
          <w:b w:val="0"/>
          <w:bCs w:val="0"/>
          <w:sz w:val="24"/>
          <w:szCs w:val="24"/>
          <w:u w:val="single"/>
          <w:lang w:val="en-US" w:eastAsia="zh-CN"/>
        </w:rPr>
        <w:t xml:space="preserve"> 10 </w:t>
      </w:r>
      <w:r>
        <w:rPr>
          <w:rFonts w:hint="eastAsia"/>
          <w:b w:val="0"/>
          <w:bCs w:val="0"/>
          <w:sz w:val="24"/>
          <w:szCs w:val="24"/>
          <w:u w:val="none"/>
          <w:lang w:val="en-US" w:eastAsia="zh-CN"/>
        </w:rPr>
        <w:t>个</w:t>
      </w:r>
      <w:r>
        <w:rPr>
          <w:rFonts w:hint="eastAsia"/>
          <w:b w:val="0"/>
          <w:bCs w:val="0"/>
          <w:sz w:val="24"/>
          <w:szCs w:val="24"/>
          <w:lang w:val="en-US" w:eastAsia="zh-CN"/>
        </w:rPr>
        <w:t>工作日内完成全部产品的到货。</w:t>
      </w:r>
    </w:p>
    <w:p>
      <w:pPr>
        <w:pStyle w:val="8"/>
        <w:numPr>
          <w:ilvl w:val="0"/>
          <w:numId w:val="0"/>
        </w:numPr>
        <w:spacing w:line="360" w:lineRule="auto"/>
        <w:rPr>
          <w:rFonts w:hint="default"/>
          <w:b/>
          <w:bCs/>
          <w:sz w:val="24"/>
          <w:szCs w:val="24"/>
          <w:lang w:val="en-US" w:eastAsia="zh-CN"/>
        </w:rPr>
      </w:pPr>
      <w:r>
        <w:rPr>
          <w:rFonts w:hint="eastAsia"/>
          <w:b/>
          <w:bCs/>
          <w:sz w:val="24"/>
          <w:szCs w:val="24"/>
          <w:lang w:val="en-US" w:eastAsia="zh-CN"/>
        </w:rPr>
        <w:t>十</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违约责任</w:t>
      </w:r>
    </w:p>
    <w:p>
      <w:pPr>
        <w:pStyle w:val="8"/>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1、甲方无正当理由拒收货物的，甲方向乙方偿付拒收货款总值的 百分之五 违约金。</w:t>
      </w:r>
    </w:p>
    <w:p>
      <w:pPr>
        <w:pStyle w:val="8"/>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2、乙方逾期交付货物的，乙方应按逾期交货总额每日 千分之六 向甲方支付违约金，由甲方从待付货款中扣除。逾期超过约定日期 10 个工作日不能交货的，甲方可解除合同。乙方因逾期交货或因其他违约行为导致甲方解除合同的，乙方应向甲方支付合同总值 5 %的违约金，如造成甲方损失超过违约金的，超出部分由乙方继续承担赔偿责任。</w:t>
      </w:r>
    </w:p>
    <w:p>
      <w:pPr>
        <w:pStyle w:val="8"/>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8"/>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4、由于乙方所提供的货物存在问题，给第三人人身或财产造成损害的，由乙方承担赔偿责任。若甲方承担赔偿责任后，有权向乙方追偿，包括但不限于律师费、诉讼费、交通费等。</w:t>
      </w:r>
    </w:p>
    <w:p>
      <w:pPr>
        <w:pStyle w:val="8"/>
        <w:numPr>
          <w:ilvl w:val="0"/>
          <w:numId w:val="0"/>
        </w:numPr>
        <w:spacing w:line="360" w:lineRule="auto"/>
        <w:rPr>
          <w:rFonts w:hint="default"/>
          <w:b/>
          <w:bCs/>
          <w:sz w:val="24"/>
          <w:szCs w:val="24"/>
          <w:lang w:val="en-US" w:eastAsia="zh-CN"/>
        </w:rPr>
      </w:pPr>
      <w:r>
        <w:rPr>
          <w:rFonts w:hint="eastAsia"/>
          <w:b/>
          <w:bCs/>
          <w:sz w:val="24"/>
          <w:szCs w:val="24"/>
          <w:lang w:val="en-US" w:eastAsia="zh-CN"/>
        </w:rPr>
        <w:t>十一</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不可抗力事件处理</w:t>
      </w:r>
    </w:p>
    <w:p>
      <w:pPr>
        <w:pStyle w:val="8"/>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1、在合同有效期内，任何一方因不可抗力事件导致不能履行合同，则合同履行期可延长，其延长期与不可抗力影响期相同。</w:t>
      </w:r>
    </w:p>
    <w:p>
      <w:pPr>
        <w:pStyle w:val="8"/>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2、不可抗力事件发生后，应立即通知对方，并寄送有关权威机构出具的证明。</w:t>
      </w:r>
    </w:p>
    <w:p>
      <w:pPr>
        <w:pStyle w:val="8"/>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3、不可抗力事件延续 120天以上，双方应通过友好协商，确定是否继续履行合同。</w:t>
      </w:r>
    </w:p>
    <w:p>
      <w:pPr>
        <w:pStyle w:val="8"/>
        <w:numPr>
          <w:ilvl w:val="0"/>
          <w:numId w:val="0"/>
        </w:numPr>
        <w:spacing w:line="360" w:lineRule="auto"/>
        <w:rPr>
          <w:rFonts w:hint="default"/>
          <w:b/>
          <w:bCs/>
          <w:sz w:val="24"/>
          <w:szCs w:val="24"/>
          <w:lang w:val="en-US" w:eastAsia="zh-CN"/>
        </w:rPr>
      </w:pPr>
      <w:r>
        <w:rPr>
          <w:rFonts w:hint="eastAsia"/>
          <w:b/>
          <w:bCs/>
          <w:sz w:val="24"/>
          <w:szCs w:val="24"/>
          <w:lang w:val="en-US" w:eastAsia="zh-CN"/>
        </w:rPr>
        <w:t>十二</w:t>
      </w:r>
      <w:r>
        <w:rPr>
          <w:rFonts w:hint="default"/>
          <w:b/>
          <w:bCs/>
          <w:sz w:val="24"/>
          <w:szCs w:val="24"/>
          <w:lang w:val="en-US" w:eastAsia="zh-CN"/>
        </w:rPr>
        <w:t>、</w:t>
      </w:r>
      <w:r>
        <w:rPr>
          <w:rFonts w:hint="eastAsia"/>
          <w:b/>
          <w:bCs/>
          <w:sz w:val="24"/>
          <w:szCs w:val="24"/>
          <w:lang w:val="en-US" w:eastAsia="zh-CN"/>
        </w:rPr>
        <w:t>合同签署-</w:t>
      </w:r>
      <w:r>
        <w:rPr>
          <w:rFonts w:hint="default"/>
          <w:b/>
          <w:bCs/>
          <w:sz w:val="24"/>
          <w:szCs w:val="24"/>
          <w:lang w:val="en-US" w:eastAsia="zh-CN"/>
        </w:rPr>
        <w:t>诉讼</w:t>
      </w:r>
    </w:p>
    <w:p>
      <w:pPr>
        <w:pStyle w:val="8"/>
        <w:numPr>
          <w:ilvl w:val="0"/>
          <w:numId w:val="0"/>
        </w:numPr>
        <w:spacing w:line="360" w:lineRule="auto"/>
        <w:ind w:firstLine="480" w:firstLineChars="200"/>
        <w:rPr>
          <w:rFonts w:hint="eastAsia"/>
          <w:sz w:val="24"/>
          <w:szCs w:val="24"/>
          <w:lang w:val="en-US" w:eastAsia="zh-CN"/>
        </w:rPr>
      </w:pPr>
      <w:r>
        <w:rPr>
          <w:rFonts w:hint="default"/>
          <w:b w:val="0"/>
          <w:bCs w:val="0"/>
          <w:sz w:val="24"/>
          <w:szCs w:val="24"/>
          <w:lang w:val="en-US" w:eastAsia="zh-CN"/>
        </w:rPr>
        <w:t>双方在履行合同中所发生的一切争议，应通过协商解决。如协商不成，向甲方所在地法院起诉。</w:t>
      </w:r>
    </w:p>
    <w:sectPr>
      <w:pgSz w:w="16838" w:h="11906" w:orient="landscape"/>
      <w:pgMar w:top="680" w:right="1304" w:bottom="68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FC988"/>
    <w:multiLevelType w:val="singleLevel"/>
    <w:tmpl w:val="F41FC988"/>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00A02A37"/>
    <w:rsid w:val="0007646E"/>
    <w:rsid w:val="002A0406"/>
    <w:rsid w:val="007373BC"/>
    <w:rsid w:val="00A02A37"/>
    <w:rsid w:val="00A457FA"/>
    <w:rsid w:val="00F0269D"/>
    <w:rsid w:val="04684506"/>
    <w:rsid w:val="05255951"/>
    <w:rsid w:val="10C71F5A"/>
    <w:rsid w:val="12900868"/>
    <w:rsid w:val="1D3C515C"/>
    <w:rsid w:val="209B4FA7"/>
    <w:rsid w:val="21DA0877"/>
    <w:rsid w:val="252217F3"/>
    <w:rsid w:val="2AC41535"/>
    <w:rsid w:val="2EBF307B"/>
    <w:rsid w:val="321150C9"/>
    <w:rsid w:val="32786689"/>
    <w:rsid w:val="3AB111F7"/>
    <w:rsid w:val="3DD35929"/>
    <w:rsid w:val="3EC97C4B"/>
    <w:rsid w:val="41192A66"/>
    <w:rsid w:val="42342C2B"/>
    <w:rsid w:val="48C84ABD"/>
    <w:rsid w:val="557B2903"/>
    <w:rsid w:val="5A0F768E"/>
    <w:rsid w:val="5A8E1021"/>
    <w:rsid w:val="68AC65E3"/>
    <w:rsid w:val="6EAD47D5"/>
    <w:rsid w:val="71C32FE3"/>
    <w:rsid w:val="747B3DF6"/>
    <w:rsid w:val="75C15A8B"/>
    <w:rsid w:val="765A5288"/>
    <w:rsid w:val="7AEC351C"/>
    <w:rsid w:val="7B66201D"/>
    <w:rsid w:val="7F8E4C30"/>
    <w:rsid w:val="7FE1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autoRedefine/>
    <w:qFormat/>
    <w:uiPriority w:val="0"/>
    <w:pPr>
      <w:ind w:firstLine="555"/>
    </w:pPr>
  </w:style>
  <w:style w:type="paragraph" w:styleId="4">
    <w:name w:val="Balloon Text"/>
    <w:basedOn w:val="1"/>
    <w:link w:val="1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autoRedefine/>
    <w:qFormat/>
    <w:uiPriority w:val="0"/>
    <w:pPr>
      <w:ind w:firstLine="420" w:firstLineChars="100"/>
    </w:pPr>
  </w:style>
  <w:style w:type="paragraph" w:styleId="8">
    <w:name w:val="Body Text First Indent 2"/>
    <w:basedOn w:val="3"/>
    <w:autoRedefine/>
    <w:unhideWhenUsed/>
    <w:qFormat/>
    <w:uiPriority w:val="99"/>
    <w:pPr>
      <w:ind w:firstLine="420" w:firstLineChars="200"/>
    </w:pPr>
  </w:style>
  <w:style w:type="character" w:customStyle="1" w:styleId="11">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2247</Words>
  <Characters>2324</Characters>
  <Lines>1</Lines>
  <Paragraphs>1</Paragraphs>
  <TotalTime>1</TotalTime>
  <ScaleCrop>false</ScaleCrop>
  <LinksUpToDate>false</LinksUpToDate>
  <CharactersWithSpaces>2342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市渔业应急处置指挥中心</cp:lastModifiedBy>
  <dcterms:modified xsi:type="dcterms:W3CDTF">2025-10-15T07:22:36Z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7C5A16EDF2E647309599E4BF75944C46</vt:lpwstr>
  </property>
</Properties>
</file>