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00" w:lineRule="atLeast"/>
        <w:jc w:val="center"/>
        <w:rPr>
          <w:rFonts w:hint="eastAsia" w:asciiTheme="majorEastAsia" w:hAnsiTheme="majorEastAsia" w:eastAsiaTheme="majorEastAsia" w:cstheme="majorEastAsia"/>
          <w:b/>
          <w:bCs/>
          <w:color w:val="000000"/>
          <w:sz w:val="36"/>
          <w:szCs w:val="36"/>
          <w:u w:val="none"/>
          <w:lang w:val="en-US" w:eastAsia="zh-CN"/>
        </w:rPr>
      </w:pPr>
      <w:bookmarkStart w:id="0" w:name="_Toc451522337"/>
      <w:r>
        <w:rPr>
          <w:rFonts w:hint="eastAsia" w:asciiTheme="majorEastAsia" w:hAnsiTheme="majorEastAsia" w:eastAsiaTheme="majorEastAsia" w:cstheme="majorEastAsia"/>
          <w:b/>
          <w:bCs/>
          <w:color w:val="auto"/>
          <w:sz w:val="36"/>
          <w:szCs w:val="36"/>
          <w:highlight w:val="none"/>
          <w:u w:val="none"/>
          <w:lang w:eastAsia="zh-CN"/>
        </w:rPr>
        <w:t>温州市中医院检验科智能实验室标本自动传送系统</w:t>
      </w:r>
      <w:r>
        <w:rPr>
          <w:rFonts w:hint="eastAsia" w:asciiTheme="majorEastAsia" w:hAnsiTheme="majorEastAsia" w:eastAsiaTheme="majorEastAsia" w:cstheme="majorEastAsia"/>
          <w:b/>
          <w:bCs/>
          <w:color w:val="auto"/>
          <w:sz w:val="36"/>
          <w:szCs w:val="36"/>
          <w:highlight w:val="none"/>
          <w:u w:val="none"/>
          <w:lang w:eastAsia="zh-CN"/>
        </w:rPr>
        <w:t>维保项目</w:t>
      </w:r>
      <w:r>
        <w:rPr>
          <w:rFonts w:hint="eastAsia" w:asciiTheme="majorEastAsia" w:hAnsiTheme="majorEastAsia" w:eastAsiaTheme="majorEastAsia" w:cstheme="majorEastAsia"/>
          <w:b/>
          <w:bCs/>
          <w:color w:val="000000"/>
          <w:sz w:val="36"/>
          <w:szCs w:val="36"/>
          <w:u w:val="none"/>
        </w:rPr>
        <w:t>采购</w:t>
      </w:r>
      <w:bookmarkEnd w:id="0"/>
      <w:r>
        <w:rPr>
          <w:rFonts w:hint="eastAsia" w:asciiTheme="majorEastAsia" w:hAnsiTheme="majorEastAsia" w:eastAsiaTheme="majorEastAsia" w:cstheme="majorEastAsia"/>
          <w:b/>
          <w:bCs/>
          <w:color w:val="000000"/>
          <w:sz w:val="36"/>
          <w:szCs w:val="36"/>
          <w:u w:val="none"/>
          <w:lang w:val="en-US" w:eastAsia="zh-CN"/>
        </w:rPr>
        <w:t>文件</w:t>
      </w:r>
    </w:p>
    <w:p>
      <w:pPr>
        <w:spacing w:line="360" w:lineRule="auto"/>
        <w:rPr>
          <w:rFonts w:hint="eastAsia"/>
          <w:b/>
          <w:bCs/>
          <w:sz w:val="28"/>
          <w:szCs w:val="28"/>
        </w:rPr>
      </w:pPr>
      <w:r>
        <w:rPr>
          <w:rFonts w:hint="eastAsia"/>
          <w:b/>
          <w:bCs/>
          <w:sz w:val="28"/>
          <w:szCs w:val="28"/>
        </w:rPr>
        <w:t>一、项目概况</w:t>
      </w:r>
    </w:p>
    <w:p>
      <w:pPr>
        <w:numPr>
          <w:ilvl w:val="0"/>
          <w:numId w:val="0"/>
        </w:numPr>
        <w:spacing w:line="360" w:lineRule="auto"/>
        <w:ind w:firstLine="480" w:firstLineChars="200"/>
        <w:rPr>
          <w:rFonts w:hint="eastAsia" w:ascii="宋体" w:hAnsi="宋体" w:eastAsia="宋体" w:cs="宋体"/>
          <w:b w:val="0"/>
          <w:bCs w:val="0"/>
          <w:sz w:val="24"/>
          <w:szCs w:val="24"/>
          <w:u w:val="none"/>
        </w:rPr>
      </w:pPr>
      <w:r>
        <w:rPr>
          <w:rFonts w:hint="eastAsia"/>
          <w:sz w:val="24"/>
          <w:szCs w:val="24"/>
          <w:lang w:val="en-US" w:eastAsia="zh-CN"/>
        </w:rPr>
        <w:t>项目名称</w:t>
      </w:r>
      <w:r>
        <w:rPr>
          <w:rFonts w:hint="eastAsia"/>
          <w:sz w:val="24"/>
          <w:szCs w:val="24"/>
        </w:rPr>
        <w:t>：</w:t>
      </w:r>
      <w:r>
        <w:rPr>
          <w:rFonts w:hint="eastAsia" w:ascii="新宋体" w:hAnsi="新宋体" w:eastAsia="新宋体"/>
          <w:color w:val="auto"/>
          <w:sz w:val="24"/>
          <w:szCs w:val="24"/>
          <w:highlight w:val="none"/>
          <w:u w:val="none"/>
          <w:lang w:eastAsia="zh-CN"/>
        </w:rPr>
        <w:t>温州市中医院检验科智能实验室标本自动传送系统维保项目</w:t>
      </w:r>
    </w:p>
    <w:p>
      <w:pPr>
        <w:spacing w:line="360" w:lineRule="auto"/>
        <w:ind w:firstLine="480" w:firstLineChars="200"/>
        <w:rPr>
          <w:rFonts w:hint="default"/>
          <w:sz w:val="24"/>
          <w:szCs w:val="24"/>
          <w:lang w:val="en-US"/>
        </w:rPr>
      </w:pPr>
      <w:r>
        <w:rPr>
          <w:rFonts w:hint="eastAsia"/>
          <w:sz w:val="24"/>
          <w:szCs w:val="24"/>
          <w:lang w:val="en-US" w:eastAsia="zh-CN"/>
        </w:rPr>
        <w:t>采购方式：公开遴选（非政府采购）</w:t>
      </w:r>
    </w:p>
    <w:p>
      <w:pPr>
        <w:spacing w:line="360" w:lineRule="auto"/>
        <w:ind w:firstLine="480" w:firstLineChars="200"/>
        <w:rPr>
          <w:rFonts w:hint="default" w:eastAsia="宋体"/>
          <w:sz w:val="24"/>
          <w:szCs w:val="24"/>
          <w:lang w:val="en-US" w:eastAsia="zh-CN"/>
        </w:rPr>
      </w:pPr>
      <w:r>
        <w:rPr>
          <w:rFonts w:hint="eastAsia"/>
          <w:sz w:val="24"/>
          <w:szCs w:val="24"/>
        </w:rPr>
        <w:t>预算</w:t>
      </w:r>
      <w:r>
        <w:rPr>
          <w:rFonts w:hint="eastAsia"/>
          <w:sz w:val="24"/>
          <w:szCs w:val="24"/>
          <w:lang w:val="en-US" w:eastAsia="zh-CN"/>
        </w:rPr>
        <w:t>金额</w:t>
      </w:r>
      <w:r>
        <w:rPr>
          <w:rFonts w:hint="eastAsia"/>
          <w:sz w:val="24"/>
          <w:szCs w:val="24"/>
        </w:rPr>
        <w:t>：</w:t>
      </w:r>
      <w:r>
        <w:rPr>
          <w:rFonts w:hint="eastAsia"/>
          <w:color w:val="FF0000"/>
          <w:sz w:val="24"/>
          <w:szCs w:val="24"/>
          <w:lang w:val="en-US" w:eastAsia="zh-CN"/>
        </w:rPr>
        <w:t>80000</w:t>
      </w:r>
      <w:r>
        <w:rPr>
          <w:rFonts w:hint="eastAsia"/>
          <w:color w:val="FF0000"/>
          <w:sz w:val="24"/>
          <w:szCs w:val="24"/>
        </w:rPr>
        <w:t>元</w:t>
      </w:r>
      <w:r>
        <w:rPr>
          <w:rFonts w:hint="eastAsia"/>
          <w:color w:val="FF0000"/>
          <w:sz w:val="24"/>
          <w:szCs w:val="24"/>
          <w:lang w:val="en-US" w:eastAsia="zh-CN"/>
        </w:rPr>
        <w:t>/年</w:t>
      </w:r>
      <w:bookmarkStart w:id="6" w:name="_GoBack"/>
      <w:bookmarkEnd w:id="6"/>
    </w:p>
    <w:p>
      <w:pPr>
        <w:numPr>
          <w:ilvl w:val="0"/>
          <w:numId w:val="1"/>
        </w:numPr>
        <w:spacing w:line="360" w:lineRule="auto"/>
        <w:rPr>
          <w:rFonts w:hint="eastAsia"/>
          <w:b/>
          <w:bCs/>
          <w:sz w:val="28"/>
          <w:szCs w:val="28"/>
          <w:lang w:val="en-US" w:eastAsia="zh-CN"/>
        </w:rPr>
      </w:pPr>
      <w:r>
        <w:rPr>
          <w:rFonts w:hint="eastAsia"/>
          <w:b/>
          <w:bCs/>
          <w:sz w:val="28"/>
          <w:szCs w:val="28"/>
          <w:lang w:val="en-US" w:eastAsia="zh-CN"/>
        </w:rPr>
        <w:t>项目维保设施清单</w:t>
      </w:r>
    </w:p>
    <w:p>
      <w:pPr>
        <w:numPr>
          <w:ilvl w:val="0"/>
          <w:numId w:val="2"/>
        </w:numPr>
        <w:spacing w:line="360" w:lineRule="auto"/>
        <w:ind w:firstLine="480" w:firstLineChars="200"/>
        <w:rPr>
          <w:rFonts w:hint="eastAsia"/>
        </w:rPr>
      </w:pPr>
      <w:r>
        <w:rPr>
          <w:rFonts w:hint="eastAsia" w:ascii="宋体" w:hAnsi="宋体" w:eastAsia="宋体" w:cs="宋体"/>
          <w:sz w:val="24"/>
          <w:szCs w:val="24"/>
        </w:rPr>
        <w:t>温州市中医院</w:t>
      </w:r>
      <w:r>
        <w:rPr>
          <w:rFonts w:hint="eastAsia" w:ascii="新宋体" w:hAnsi="新宋体" w:eastAsia="新宋体"/>
          <w:color w:val="auto"/>
          <w:sz w:val="24"/>
          <w:szCs w:val="24"/>
          <w:highlight w:val="none"/>
          <w:u w:val="none"/>
          <w:lang w:eastAsia="zh-CN"/>
        </w:rPr>
        <w:t>中医院检验科智能实验室标本自动传送系统</w:t>
      </w:r>
      <w:r>
        <w:rPr>
          <w:rFonts w:hint="eastAsia" w:ascii="宋体" w:hAnsi="宋体" w:cs="宋体"/>
          <w:sz w:val="24"/>
          <w:szCs w:val="24"/>
          <w:lang w:val="en-US" w:eastAsia="zh-CN"/>
        </w:rPr>
        <w:t>1套</w:t>
      </w:r>
      <w:r>
        <w:rPr>
          <w:rFonts w:hint="eastAsia" w:ascii="宋体" w:hAnsi="宋体" w:eastAsia="宋体" w:cs="宋体"/>
          <w:sz w:val="24"/>
          <w:szCs w:val="24"/>
          <w:lang w:val="en-US" w:eastAsia="zh-CN"/>
        </w:rPr>
        <w:t>。</w:t>
      </w:r>
    </w:p>
    <w:p>
      <w:pPr>
        <w:spacing w:line="360" w:lineRule="auto"/>
        <w:rPr>
          <w:rFonts w:hint="eastAsia" w:ascii="宋体" w:hAnsi="宋体" w:cs="宋体"/>
          <w:sz w:val="24"/>
          <w:szCs w:val="24"/>
        </w:rPr>
      </w:pPr>
    </w:p>
    <w:p>
      <w:pPr>
        <w:numPr>
          <w:ilvl w:val="0"/>
          <w:numId w:val="1"/>
        </w:numPr>
        <w:spacing w:line="360" w:lineRule="auto"/>
        <w:ind w:left="0" w:leftChars="0" w:firstLine="0" w:firstLineChars="0"/>
        <w:rPr>
          <w:rFonts w:hint="eastAsia"/>
          <w:b/>
          <w:bCs/>
          <w:sz w:val="28"/>
          <w:szCs w:val="28"/>
          <w:lang w:val="en-US" w:eastAsia="zh-CN"/>
        </w:rPr>
      </w:pPr>
      <w:r>
        <w:rPr>
          <w:rFonts w:hint="eastAsia"/>
          <w:b/>
          <w:bCs/>
          <w:sz w:val="28"/>
          <w:szCs w:val="28"/>
          <w:lang w:val="en-US" w:eastAsia="zh-CN"/>
        </w:rPr>
        <w:t>项目要求</w:t>
      </w:r>
    </w:p>
    <w:tbl>
      <w:tblPr>
        <w:tblStyle w:val="13"/>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7570"/>
        <w:gridCol w:w="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1084" w:type="dxa"/>
            <w:shd w:val="clear" w:color="auto" w:fill="auto"/>
            <w:vAlign w:val="center"/>
          </w:tcPr>
          <w:p>
            <w:pPr>
              <w:spacing w:line="460" w:lineRule="exact"/>
              <w:jc w:val="center"/>
              <w:rPr>
                <w:rFonts w:hint="eastAsia" w:ascii="新宋体" w:hAnsi="新宋体" w:eastAsia="新宋体" w:cs="Times New Roman"/>
                <w:kern w:val="2"/>
                <w:sz w:val="22"/>
                <w:szCs w:val="24"/>
                <w:lang w:val="en-US" w:eastAsia="zh-CN" w:bidi="ar-SA"/>
              </w:rPr>
            </w:pPr>
            <w:r>
              <w:rPr>
                <w:rFonts w:hint="eastAsia" w:ascii="新宋体" w:hAnsi="新宋体" w:eastAsia="新宋体"/>
                <w:sz w:val="22"/>
                <w:lang w:val="en-US" w:eastAsia="zh-CN"/>
              </w:rPr>
              <w:t>设备一</w:t>
            </w:r>
          </w:p>
        </w:tc>
        <w:tc>
          <w:tcPr>
            <w:tcW w:w="7915" w:type="dxa"/>
            <w:gridSpan w:val="2"/>
            <w:shd w:val="clear" w:color="auto" w:fill="auto"/>
            <w:vAlign w:val="center"/>
          </w:tcPr>
          <w:p>
            <w:pPr>
              <w:spacing w:line="460" w:lineRule="exact"/>
              <w:ind w:firstLine="759" w:firstLineChars="345"/>
              <w:jc w:val="center"/>
              <w:rPr>
                <w:rFonts w:hint="eastAsia" w:ascii="新宋体" w:hAnsi="新宋体" w:eastAsia="新宋体" w:cs="Times New Roman"/>
                <w:kern w:val="2"/>
                <w:sz w:val="22"/>
                <w:szCs w:val="24"/>
                <w:lang w:val="en-US" w:eastAsia="zh-CN" w:bidi="ar-SA"/>
              </w:rPr>
            </w:pPr>
            <w:r>
              <w:rPr>
                <w:rFonts w:hint="eastAsia" w:ascii="新宋体" w:hAnsi="新宋体" w:eastAsia="新宋体" w:cs="Times New Roman"/>
                <w:sz w:val="22"/>
                <w:lang w:val="en-US" w:eastAsia="zh-CN"/>
              </w:rPr>
              <w:t>维保技术</w:t>
            </w:r>
            <w:r>
              <w:rPr>
                <w:rFonts w:hint="eastAsia" w:ascii="新宋体" w:hAnsi="新宋体" w:eastAsia="新宋体"/>
                <w:sz w:val="22"/>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1084" w:type="dxa"/>
            <w:shd w:val="clear" w:color="auto" w:fill="auto"/>
            <w:vAlign w:val="center"/>
          </w:tcPr>
          <w:p>
            <w:pPr>
              <w:ind w:firstLine="220" w:firstLineChars="100"/>
              <w:rPr>
                <w:rFonts w:hint="eastAsia" w:ascii="新宋体" w:hAnsi="新宋体" w:eastAsia="新宋体" w:cs="Times New Roman"/>
                <w:kern w:val="2"/>
                <w:sz w:val="22"/>
                <w:szCs w:val="22"/>
                <w:lang w:val="en-US" w:eastAsia="zh-CN" w:bidi="ar-SA"/>
              </w:rPr>
            </w:pPr>
            <w:r>
              <w:rPr>
                <w:rFonts w:hint="eastAsia" w:ascii="新宋体" w:hAnsi="新宋体" w:eastAsia="新宋体"/>
                <w:sz w:val="22"/>
                <w:szCs w:val="22"/>
              </w:rPr>
              <w:t>1</w:t>
            </w:r>
          </w:p>
        </w:tc>
        <w:tc>
          <w:tcPr>
            <w:tcW w:w="7915" w:type="dxa"/>
            <w:gridSpan w:val="2"/>
            <w:shd w:val="clear" w:color="auto" w:fill="auto"/>
            <w:vAlign w:val="top"/>
          </w:tcPr>
          <w:p>
            <w:pPr>
              <w:spacing w:line="360" w:lineRule="auto"/>
              <w:rPr>
                <w:rFonts w:hint="eastAsia" w:ascii="Times New Roman" w:hAnsi="Times New Roman" w:eastAsia="宋体" w:cs="Times New Roman"/>
                <w:kern w:val="2"/>
                <w:sz w:val="24"/>
                <w:szCs w:val="24"/>
                <w:lang w:val="en-US" w:eastAsia="zh-CN" w:bidi="ar-SA"/>
              </w:rPr>
            </w:pPr>
            <w:r>
              <w:rPr>
                <w:rFonts w:hint="eastAsia" w:ascii="宋体" w:hAnsi="宋体" w:cs="宋体"/>
                <w:szCs w:val="21"/>
              </w:rPr>
              <w:t>合同期内免费提供原厂同质化的零配件和维护技术服务。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084" w:type="dxa"/>
            <w:vAlign w:val="center"/>
          </w:tcPr>
          <w:p>
            <w:pPr>
              <w:jc w:val="center"/>
              <w:rPr>
                <w:rFonts w:hint="eastAsia" w:ascii="新宋体" w:hAnsi="新宋体" w:eastAsia="新宋体"/>
                <w:sz w:val="22"/>
                <w:szCs w:val="22"/>
              </w:rPr>
            </w:pPr>
            <w:r>
              <w:rPr>
                <w:rFonts w:hint="eastAsia" w:ascii="新宋体" w:hAnsi="新宋体" w:eastAsia="新宋体"/>
                <w:sz w:val="22"/>
                <w:szCs w:val="22"/>
              </w:rPr>
              <w:t>2</w:t>
            </w:r>
          </w:p>
        </w:tc>
        <w:tc>
          <w:tcPr>
            <w:tcW w:w="7915" w:type="dxa"/>
            <w:gridSpan w:val="2"/>
          </w:tcPr>
          <w:p>
            <w:pPr>
              <w:spacing w:line="360" w:lineRule="auto"/>
              <w:rPr>
                <w:rFonts w:hint="eastAsia" w:ascii="宋体" w:hAnsi="宋体" w:cs="宋体"/>
                <w:szCs w:val="21"/>
              </w:rPr>
            </w:pPr>
            <w:r>
              <w:rPr>
                <w:rFonts w:hint="eastAsia" w:ascii="宋体" w:hAnsi="宋体" w:cs="宋体"/>
                <w:szCs w:val="21"/>
              </w:rPr>
              <w:t>接到技术咨询或故障报告，1小时内作远程技术服务相应（电话或视频等）；如果远程技术服务未能解除故障，提供4小时内派员现场维修维护服务。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084" w:type="dxa"/>
            <w:vAlign w:val="center"/>
          </w:tcPr>
          <w:p>
            <w:pPr>
              <w:jc w:val="center"/>
              <w:rPr>
                <w:rFonts w:hint="eastAsia" w:ascii="新宋体" w:hAnsi="新宋体" w:eastAsia="新宋体"/>
                <w:sz w:val="22"/>
                <w:szCs w:val="22"/>
              </w:rPr>
            </w:pPr>
            <w:r>
              <w:rPr>
                <w:rFonts w:hint="eastAsia" w:ascii="新宋体" w:hAnsi="新宋体" w:eastAsia="新宋体"/>
                <w:sz w:val="22"/>
                <w:szCs w:val="22"/>
              </w:rPr>
              <w:t>3</w:t>
            </w:r>
          </w:p>
        </w:tc>
        <w:tc>
          <w:tcPr>
            <w:tcW w:w="7915" w:type="dxa"/>
            <w:gridSpan w:val="2"/>
          </w:tcPr>
          <w:p>
            <w:pPr>
              <w:spacing w:line="360" w:lineRule="auto"/>
              <w:rPr>
                <w:rFonts w:hint="eastAsia" w:ascii="宋体" w:hAnsi="宋体" w:cs="宋体"/>
                <w:szCs w:val="21"/>
              </w:rPr>
            </w:pPr>
            <w:r>
              <w:rPr>
                <w:rFonts w:hint="eastAsia" w:ascii="宋体" w:hAnsi="宋体" w:cs="宋体"/>
                <w:szCs w:val="21"/>
              </w:rPr>
              <w:t>提供季度定时设备维护服务，每年不少于四次。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084" w:type="dxa"/>
            <w:vAlign w:val="center"/>
          </w:tcPr>
          <w:p>
            <w:pPr>
              <w:jc w:val="center"/>
              <w:rPr>
                <w:rFonts w:hint="eastAsia" w:ascii="新宋体" w:hAnsi="新宋体" w:eastAsia="新宋体"/>
                <w:sz w:val="22"/>
                <w:szCs w:val="22"/>
              </w:rPr>
            </w:pPr>
            <w:r>
              <w:rPr>
                <w:rFonts w:hint="eastAsia" w:ascii="新宋体" w:hAnsi="新宋体" w:eastAsia="新宋体"/>
                <w:sz w:val="22"/>
                <w:szCs w:val="22"/>
              </w:rPr>
              <w:t>4</w:t>
            </w:r>
          </w:p>
        </w:tc>
        <w:tc>
          <w:tcPr>
            <w:tcW w:w="7915" w:type="dxa"/>
            <w:gridSpan w:val="2"/>
          </w:tcPr>
          <w:p>
            <w:pPr>
              <w:spacing w:line="360" w:lineRule="auto"/>
              <w:rPr>
                <w:sz w:val="24"/>
              </w:rPr>
            </w:pPr>
            <w:r>
              <w:rPr>
                <w:rFonts w:hint="eastAsia" w:ascii="宋体" w:hAnsi="宋体" w:cs="宋体"/>
                <w:szCs w:val="21"/>
              </w:rPr>
              <w:t>硬件售后维保服务内容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084" w:type="dxa"/>
            <w:vAlign w:val="center"/>
          </w:tcPr>
          <w:p>
            <w:pPr>
              <w:jc w:val="center"/>
              <w:rPr>
                <w:rFonts w:hint="eastAsia" w:ascii="新宋体" w:hAnsi="新宋体" w:eastAsia="新宋体"/>
                <w:sz w:val="22"/>
                <w:szCs w:val="22"/>
              </w:rPr>
            </w:pPr>
            <w:r>
              <w:rPr>
                <w:rFonts w:hint="eastAsia" w:ascii="新宋体" w:hAnsi="新宋体" w:eastAsia="新宋体"/>
                <w:sz w:val="22"/>
                <w:szCs w:val="22"/>
              </w:rPr>
              <w:t>4.1</w:t>
            </w:r>
          </w:p>
        </w:tc>
        <w:tc>
          <w:tcPr>
            <w:tcW w:w="7915" w:type="dxa"/>
            <w:gridSpan w:val="2"/>
          </w:tcPr>
          <w:p>
            <w:pPr>
              <w:spacing w:line="360" w:lineRule="auto"/>
              <w:rPr>
                <w:sz w:val="24"/>
              </w:rPr>
            </w:pPr>
            <w:r>
              <w:rPr>
                <w:rFonts w:hint="eastAsia" w:ascii="宋体" w:hAnsi="宋体" w:cs="宋体"/>
                <w:szCs w:val="21"/>
              </w:rPr>
              <w:t>做好标本感应传感器的保养维护，确保轨道自动启停功能的正常运行。具备必要时可提供相同传感器的更新服务能力。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084" w:type="dxa"/>
            <w:vAlign w:val="center"/>
          </w:tcPr>
          <w:p>
            <w:pPr>
              <w:jc w:val="center"/>
              <w:rPr>
                <w:rFonts w:hint="eastAsia" w:ascii="新宋体" w:hAnsi="新宋体" w:eastAsia="新宋体"/>
                <w:sz w:val="22"/>
                <w:szCs w:val="22"/>
              </w:rPr>
            </w:pPr>
            <w:r>
              <w:rPr>
                <w:rFonts w:hint="eastAsia" w:ascii="新宋体" w:hAnsi="新宋体" w:eastAsia="新宋体"/>
                <w:sz w:val="22"/>
                <w:szCs w:val="22"/>
              </w:rPr>
              <w:t>4.2</w:t>
            </w:r>
          </w:p>
        </w:tc>
        <w:tc>
          <w:tcPr>
            <w:tcW w:w="7915" w:type="dxa"/>
            <w:gridSpan w:val="2"/>
          </w:tcPr>
          <w:p>
            <w:pPr>
              <w:spacing w:line="360" w:lineRule="auto"/>
              <w:rPr>
                <w:sz w:val="24"/>
              </w:rPr>
            </w:pPr>
            <w:r>
              <w:rPr>
                <w:rFonts w:hint="eastAsia" w:ascii="宋体" w:hAnsi="宋体" w:cs="宋体"/>
                <w:szCs w:val="21"/>
              </w:rPr>
              <w:t>做好水平轨道输送带的保养维护，具备必要时可提供相同规格输送带的更新服务能力。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084" w:type="dxa"/>
            <w:vAlign w:val="center"/>
          </w:tcPr>
          <w:p>
            <w:pPr>
              <w:jc w:val="center"/>
              <w:rPr>
                <w:rFonts w:hint="eastAsia" w:ascii="新宋体" w:hAnsi="新宋体" w:eastAsia="新宋体"/>
                <w:sz w:val="22"/>
                <w:szCs w:val="22"/>
              </w:rPr>
            </w:pPr>
            <w:r>
              <w:rPr>
                <w:rFonts w:hint="eastAsia" w:ascii="新宋体" w:hAnsi="新宋体" w:eastAsia="新宋体"/>
                <w:sz w:val="22"/>
                <w:szCs w:val="22"/>
              </w:rPr>
              <w:t>4.3</w:t>
            </w:r>
          </w:p>
        </w:tc>
        <w:tc>
          <w:tcPr>
            <w:tcW w:w="7915" w:type="dxa"/>
            <w:gridSpan w:val="2"/>
          </w:tcPr>
          <w:p>
            <w:pPr>
              <w:spacing w:line="360" w:lineRule="auto"/>
              <w:rPr>
                <w:sz w:val="24"/>
              </w:rPr>
            </w:pPr>
            <w:r>
              <w:rPr>
                <w:rFonts w:hint="eastAsia" w:ascii="宋体" w:hAnsi="宋体" w:cs="宋体"/>
                <w:szCs w:val="21"/>
              </w:rPr>
              <w:t>做好水平轨道输送带驱动机械总成的保养维护，具备必要时可提供零部件和总成的更新服务能力。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084" w:type="dxa"/>
            <w:vAlign w:val="center"/>
          </w:tcPr>
          <w:p>
            <w:pPr>
              <w:ind w:firstLine="220" w:firstLineChars="100"/>
              <w:rPr>
                <w:rFonts w:hint="eastAsia" w:ascii="新宋体" w:hAnsi="新宋体" w:eastAsia="新宋体"/>
                <w:sz w:val="22"/>
                <w:szCs w:val="22"/>
              </w:rPr>
            </w:pPr>
            <w:r>
              <w:rPr>
                <w:rFonts w:hint="eastAsia" w:ascii="新宋体" w:hAnsi="新宋体" w:eastAsia="新宋体"/>
                <w:sz w:val="22"/>
                <w:szCs w:val="22"/>
              </w:rPr>
              <w:t xml:space="preserve"> 4.4</w:t>
            </w:r>
          </w:p>
        </w:tc>
        <w:tc>
          <w:tcPr>
            <w:tcW w:w="7915" w:type="dxa"/>
            <w:gridSpan w:val="2"/>
          </w:tcPr>
          <w:p>
            <w:pPr>
              <w:spacing w:line="360" w:lineRule="auto"/>
              <w:rPr>
                <w:sz w:val="24"/>
              </w:rPr>
            </w:pPr>
            <w:r>
              <w:rPr>
                <w:rFonts w:hint="eastAsia" w:ascii="宋体" w:hAnsi="宋体" w:cs="宋体"/>
                <w:szCs w:val="21"/>
              </w:rPr>
              <w:t>做好轨道输送带驱动电子控制装置（芯片控制板）的保养维护，具备必要时可及时提供芯片控制板的更新服务能力。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084" w:type="dxa"/>
            <w:vAlign w:val="center"/>
          </w:tcPr>
          <w:p>
            <w:pPr>
              <w:jc w:val="center"/>
              <w:rPr>
                <w:rFonts w:hint="eastAsia" w:ascii="新宋体" w:hAnsi="新宋体" w:eastAsia="新宋体"/>
                <w:sz w:val="22"/>
                <w:szCs w:val="22"/>
              </w:rPr>
            </w:pPr>
            <w:r>
              <w:rPr>
                <w:rFonts w:hint="eastAsia" w:ascii="新宋体" w:hAnsi="新宋体" w:eastAsia="新宋体"/>
                <w:sz w:val="22"/>
                <w:szCs w:val="22"/>
              </w:rPr>
              <w:t>4.5</w:t>
            </w:r>
          </w:p>
        </w:tc>
        <w:tc>
          <w:tcPr>
            <w:tcW w:w="7915" w:type="dxa"/>
            <w:gridSpan w:val="2"/>
          </w:tcPr>
          <w:p>
            <w:pPr>
              <w:spacing w:line="360" w:lineRule="auto"/>
              <w:rPr>
                <w:sz w:val="24"/>
              </w:rPr>
            </w:pPr>
            <w:r>
              <w:rPr>
                <w:rFonts w:hint="eastAsia" w:ascii="宋体" w:hAnsi="宋体" w:cs="宋体"/>
                <w:szCs w:val="21"/>
              </w:rPr>
              <w:t>做好标本提升送管机的保养维护，具备必要时可提供零部件和总成的更新服务能力。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084" w:type="dxa"/>
            <w:vAlign w:val="center"/>
          </w:tcPr>
          <w:p>
            <w:pPr>
              <w:jc w:val="center"/>
              <w:rPr>
                <w:rFonts w:hint="eastAsia" w:ascii="新宋体" w:hAnsi="新宋体" w:eastAsia="新宋体"/>
                <w:sz w:val="22"/>
                <w:szCs w:val="22"/>
              </w:rPr>
            </w:pPr>
            <w:r>
              <w:rPr>
                <w:rFonts w:hint="eastAsia" w:ascii="新宋体" w:hAnsi="新宋体" w:eastAsia="新宋体"/>
                <w:sz w:val="22"/>
                <w:szCs w:val="22"/>
              </w:rPr>
              <w:t>4.6</w:t>
            </w:r>
          </w:p>
        </w:tc>
        <w:tc>
          <w:tcPr>
            <w:tcW w:w="7915" w:type="dxa"/>
            <w:gridSpan w:val="2"/>
          </w:tcPr>
          <w:p>
            <w:pPr>
              <w:spacing w:line="360" w:lineRule="auto"/>
              <w:rPr>
                <w:sz w:val="24"/>
              </w:rPr>
            </w:pPr>
            <w:r>
              <w:rPr>
                <w:rFonts w:hint="eastAsia" w:ascii="宋体" w:hAnsi="宋体" w:cs="宋体"/>
                <w:szCs w:val="21"/>
              </w:rPr>
              <w:t>做好标本上行垂直轨道的保养维护和零部件和总成的提供能力。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5" w:type="dxa"/>
          <w:cantSplit/>
          <w:trHeight w:val="871" w:hRule="atLeast"/>
        </w:trPr>
        <w:tc>
          <w:tcPr>
            <w:tcW w:w="1084" w:type="dxa"/>
            <w:vAlign w:val="center"/>
          </w:tcPr>
          <w:p>
            <w:pPr>
              <w:jc w:val="center"/>
              <w:rPr>
                <w:rFonts w:hint="eastAsia" w:ascii="新宋体" w:hAnsi="新宋体" w:eastAsia="新宋体"/>
                <w:sz w:val="22"/>
                <w:szCs w:val="22"/>
              </w:rPr>
            </w:pPr>
            <w:r>
              <w:rPr>
                <w:rFonts w:hint="eastAsia" w:ascii="新宋体" w:hAnsi="新宋体" w:eastAsia="新宋体"/>
                <w:sz w:val="22"/>
                <w:szCs w:val="22"/>
              </w:rPr>
              <w:t>4.7</w:t>
            </w:r>
          </w:p>
        </w:tc>
        <w:tc>
          <w:tcPr>
            <w:tcW w:w="7570" w:type="dxa"/>
          </w:tcPr>
          <w:p>
            <w:pPr>
              <w:spacing w:line="360" w:lineRule="auto"/>
              <w:rPr>
                <w:sz w:val="24"/>
              </w:rPr>
            </w:pPr>
            <w:r>
              <w:rPr>
                <w:rFonts w:hint="eastAsia" w:ascii="宋体" w:hAnsi="宋体" w:cs="宋体"/>
                <w:szCs w:val="21"/>
              </w:rPr>
              <w:t>做好标本下行轨道的保养维护和零部件和总成的提供能力。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5" w:type="dxa"/>
          <w:cantSplit/>
          <w:trHeight w:val="871" w:hRule="atLeast"/>
        </w:trPr>
        <w:tc>
          <w:tcPr>
            <w:tcW w:w="1084" w:type="dxa"/>
            <w:vAlign w:val="center"/>
          </w:tcPr>
          <w:p>
            <w:pPr>
              <w:jc w:val="center"/>
              <w:rPr>
                <w:rFonts w:hint="eastAsia" w:ascii="新宋体" w:hAnsi="新宋体" w:eastAsia="新宋体"/>
                <w:sz w:val="22"/>
                <w:szCs w:val="22"/>
              </w:rPr>
            </w:pPr>
            <w:r>
              <w:rPr>
                <w:rFonts w:hint="eastAsia" w:ascii="新宋体" w:hAnsi="新宋体" w:eastAsia="新宋体"/>
                <w:sz w:val="22"/>
                <w:szCs w:val="22"/>
              </w:rPr>
              <w:t>4.8</w:t>
            </w:r>
          </w:p>
        </w:tc>
        <w:tc>
          <w:tcPr>
            <w:tcW w:w="7570" w:type="dxa"/>
          </w:tcPr>
          <w:p>
            <w:pPr>
              <w:spacing w:line="360" w:lineRule="auto"/>
              <w:rPr>
                <w:sz w:val="24"/>
              </w:rPr>
            </w:pPr>
            <w:r>
              <w:rPr>
                <w:rFonts w:hint="eastAsia" w:ascii="宋体" w:hAnsi="宋体" w:cs="宋体"/>
                <w:szCs w:val="21"/>
              </w:rPr>
              <w:t>做好空中轨道标本分拣机的保养维护，具备必要时可提供零部件和总成的更新服务能力。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5" w:type="dxa"/>
          <w:cantSplit/>
          <w:trHeight w:val="871" w:hRule="atLeast"/>
        </w:trPr>
        <w:tc>
          <w:tcPr>
            <w:tcW w:w="1084" w:type="dxa"/>
            <w:vAlign w:val="center"/>
          </w:tcPr>
          <w:p>
            <w:pPr>
              <w:jc w:val="center"/>
              <w:rPr>
                <w:rFonts w:hint="eastAsia" w:ascii="新宋体" w:hAnsi="新宋体" w:eastAsia="新宋体"/>
                <w:sz w:val="22"/>
                <w:szCs w:val="22"/>
              </w:rPr>
            </w:pPr>
            <w:r>
              <w:rPr>
                <w:rFonts w:hint="eastAsia" w:ascii="新宋体" w:hAnsi="新宋体" w:eastAsia="新宋体"/>
                <w:sz w:val="22"/>
                <w:szCs w:val="22"/>
              </w:rPr>
              <w:t>4.9</w:t>
            </w:r>
          </w:p>
        </w:tc>
        <w:tc>
          <w:tcPr>
            <w:tcW w:w="7570" w:type="dxa"/>
          </w:tcPr>
          <w:p>
            <w:pPr>
              <w:spacing w:line="360" w:lineRule="auto"/>
              <w:rPr>
                <w:sz w:val="24"/>
              </w:rPr>
            </w:pPr>
            <w:r>
              <w:rPr>
                <w:rFonts w:hint="eastAsia" w:ascii="宋体" w:hAnsi="宋体" w:cs="宋体"/>
                <w:szCs w:val="21"/>
              </w:rPr>
              <w:t>做好空中轨道标本转向机构的保养维护，具备必要时可提供零部件和总成的更新服务能力。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5" w:type="dxa"/>
          <w:cantSplit/>
          <w:trHeight w:val="871" w:hRule="atLeast"/>
        </w:trPr>
        <w:tc>
          <w:tcPr>
            <w:tcW w:w="1084" w:type="dxa"/>
          </w:tcPr>
          <w:p>
            <w:pPr>
              <w:jc w:val="center"/>
              <w:rPr>
                <w:rFonts w:hint="eastAsia" w:ascii="新宋体" w:hAnsi="新宋体" w:eastAsia="新宋体"/>
                <w:sz w:val="22"/>
                <w:szCs w:val="22"/>
              </w:rPr>
            </w:pPr>
            <w:r>
              <w:rPr>
                <w:rFonts w:hint="eastAsia" w:ascii="新宋体" w:hAnsi="新宋体" w:eastAsia="新宋体"/>
                <w:sz w:val="22"/>
                <w:szCs w:val="22"/>
              </w:rPr>
              <w:t>5</w:t>
            </w:r>
          </w:p>
        </w:tc>
        <w:tc>
          <w:tcPr>
            <w:tcW w:w="7570" w:type="dxa"/>
          </w:tcPr>
          <w:p>
            <w:pPr>
              <w:spacing w:line="360" w:lineRule="auto"/>
              <w:rPr>
                <w:sz w:val="24"/>
              </w:rPr>
            </w:pPr>
            <w:r>
              <w:rPr>
                <w:rFonts w:hint="eastAsia" w:ascii="宋体" w:hAnsi="宋体" w:cs="宋体"/>
                <w:szCs w:val="21"/>
              </w:rPr>
              <w:t>系统软件维保服务内容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5" w:type="dxa"/>
          <w:cantSplit/>
          <w:trHeight w:val="871" w:hRule="atLeast"/>
        </w:trPr>
        <w:tc>
          <w:tcPr>
            <w:tcW w:w="1084" w:type="dxa"/>
          </w:tcPr>
          <w:p>
            <w:pPr>
              <w:jc w:val="center"/>
              <w:rPr>
                <w:rFonts w:hint="eastAsia" w:ascii="新宋体" w:hAnsi="新宋体" w:eastAsia="新宋体"/>
                <w:sz w:val="22"/>
                <w:szCs w:val="22"/>
              </w:rPr>
            </w:pPr>
            <w:r>
              <w:rPr>
                <w:rFonts w:hint="eastAsia" w:ascii="新宋体" w:hAnsi="新宋体" w:eastAsia="新宋体"/>
                <w:sz w:val="22"/>
                <w:szCs w:val="22"/>
              </w:rPr>
              <w:t>5.1</w:t>
            </w:r>
          </w:p>
        </w:tc>
        <w:tc>
          <w:tcPr>
            <w:tcW w:w="7570" w:type="dxa"/>
          </w:tcPr>
          <w:p>
            <w:pPr>
              <w:spacing w:line="360" w:lineRule="auto"/>
              <w:rPr>
                <w:rFonts w:hint="eastAsia"/>
                <w:sz w:val="24"/>
              </w:rPr>
            </w:pPr>
            <w:r>
              <w:rPr>
                <w:rFonts w:hint="eastAsia" w:ascii="宋体" w:hAnsi="宋体" w:cs="宋体"/>
                <w:szCs w:val="21"/>
              </w:rPr>
              <w:t>做好与医院HIS/LIS联机服务，保证标本信息双向通讯畅通。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5" w:type="dxa"/>
          <w:cantSplit/>
          <w:trHeight w:val="871" w:hRule="atLeast"/>
        </w:trPr>
        <w:tc>
          <w:tcPr>
            <w:tcW w:w="1084" w:type="dxa"/>
          </w:tcPr>
          <w:p>
            <w:pPr>
              <w:jc w:val="center"/>
              <w:rPr>
                <w:rFonts w:hint="eastAsia" w:ascii="新宋体" w:hAnsi="新宋体" w:eastAsia="新宋体"/>
                <w:sz w:val="22"/>
                <w:szCs w:val="22"/>
              </w:rPr>
            </w:pPr>
            <w:r>
              <w:rPr>
                <w:rFonts w:hint="eastAsia" w:ascii="新宋体" w:hAnsi="新宋体" w:eastAsia="新宋体"/>
                <w:sz w:val="22"/>
                <w:szCs w:val="22"/>
              </w:rPr>
              <w:t>5.2</w:t>
            </w:r>
          </w:p>
        </w:tc>
        <w:tc>
          <w:tcPr>
            <w:tcW w:w="7570" w:type="dxa"/>
          </w:tcPr>
          <w:p>
            <w:pPr>
              <w:spacing w:line="360" w:lineRule="auto"/>
              <w:rPr>
                <w:sz w:val="24"/>
              </w:rPr>
            </w:pPr>
            <w:r>
              <w:rPr>
                <w:rFonts w:hint="eastAsia" w:ascii="宋体" w:hAnsi="宋体" w:cs="宋体"/>
                <w:szCs w:val="21"/>
              </w:rPr>
              <w:t>提供做好系统软件的更新、升级服务，满足医院业务发展所带来软件更新需求，保持与医院检验项目设置的同步更新。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5" w:type="dxa"/>
          <w:cantSplit/>
          <w:trHeight w:val="871" w:hRule="atLeast"/>
        </w:trPr>
        <w:tc>
          <w:tcPr>
            <w:tcW w:w="1084" w:type="dxa"/>
          </w:tcPr>
          <w:p>
            <w:pPr>
              <w:jc w:val="center"/>
              <w:rPr>
                <w:rFonts w:hint="eastAsia" w:ascii="新宋体" w:hAnsi="新宋体" w:eastAsia="新宋体"/>
                <w:sz w:val="22"/>
                <w:szCs w:val="22"/>
              </w:rPr>
            </w:pPr>
            <w:r>
              <w:rPr>
                <w:rFonts w:hint="eastAsia" w:ascii="新宋体" w:hAnsi="新宋体" w:eastAsia="新宋体"/>
                <w:sz w:val="22"/>
                <w:szCs w:val="22"/>
              </w:rPr>
              <w:t>5.3</w:t>
            </w:r>
          </w:p>
        </w:tc>
        <w:tc>
          <w:tcPr>
            <w:tcW w:w="7570" w:type="dxa"/>
          </w:tcPr>
          <w:p>
            <w:pPr>
              <w:spacing w:line="380" w:lineRule="exact"/>
              <w:rPr>
                <w:sz w:val="24"/>
              </w:rPr>
            </w:pPr>
            <w:r>
              <w:rPr>
                <w:rFonts w:hint="eastAsia" w:ascii="宋体" w:hAnsi="宋体" w:cs="宋体"/>
                <w:szCs w:val="21"/>
              </w:rPr>
              <w:t>提供根据医院业务需求对标本流转节点设置的增添或删减的服务。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5" w:type="dxa"/>
          <w:cantSplit/>
          <w:trHeight w:val="871" w:hRule="atLeast"/>
        </w:trPr>
        <w:tc>
          <w:tcPr>
            <w:tcW w:w="1084" w:type="dxa"/>
          </w:tcPr>
          <w:p>
            <w:pPr>
              <w:jc w:val="center"/>
              <w:rPr>
                <w:rFonts w:hint="eastAsia" w:ascii="新宋体" w:hAnsi="新宋体" w:eastAsia="新宋体"/>
                <w:sz w:val="22"/>
                <w:szCs w:val="22"/>
              </w:rPr>
            </w:pPr>
            <w:r>
              <w:rPr>
                <w:rFonts w:hint="eastAsia" w:ascii="新宋体" w:hAnsi="新宋体" w:eastAsia="新宋体"/>
                <w:sz w:val="22"/>
                <w:szCs w:val="22"/>
              </w:rPr>
              <w:t>5.4</w:t>
            </w:r>
          </w:p>
        </w:tc>
        <w:tc>
          <w:tcPr>
            <w:tcW w:w="7570" w:type="dxa"/>
          </w:tcPr>
          <w:p>
            <w:pPr>
              <w:spacing w:line="360" w:lineRule="auto"/>
              <w:rPr>
                <w:sz w:val="24"/>
              </w:rPr>
            </w:pPr>
            <w:r>
              <w:rPr>
                <w:rFonts w:hint="eastAsia" w:ascii="宋体" w:hAnsi="宋体" w:cs="宋体"/>
                <w:szCs w:val="21"/>
              </w:rPr>
              <w:t>做好标本分时段改变传送路径功能的维护工作。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5" w:type="dxa"/>
          <w:cantSplit/>
          <w:trHeight w:val="871" w:hRule="atLeast"/>
        </w:trPr>
        <w:tc>
          <w:tcPr>
            <w:tcW w:w="1084" w:type="dxa"/>
          </w:tcPr>
          <w:p>
            <w:pPr>
              <w:jc w:val="center"/>
              <w:rPr>
                <w:rFonts w:hint="eastAsia" w:ascii="新宋体" w:hAnsi="新宋体" w:eastAsia="新宋体"/>
                <w:sz w:val="22"/>
                <w:szCs w:val="22"/>
              </w:rPr>
            </w:pPr>
            <w:r>
              <w:rPr>
                <w:rFonts w:hint="eastAsia" w:ascii="新宋体" w:hAnsi="新宋体" w:eastAsia="新宋体"/>
                <w:sz w:val="22"/>
                <w:szCs w:val="22"/>
              </w:rPr>
              <w:t>5.5</w:t>
            </w:r>
          </w:p>
        </w:tc>
        <w:tc>
          <w:tcPr>
            <w:tcW w:w="7570" w:type="dxa"/>
          </w:tcPr>
          <w:p>
            <w:pPr>
              <w:spacing w:line="360" w:lineRule="auto"/>
              <w:rPr>
                <w:rFonts w:hint="eastAsia" w:ascii="宋体" w:hAnsi="宋体" w:cs="宋体"/>
                <w:szCs w:val="21"/>
              </w:rPr>
            </w:pPr>
            <w:r>
              <w:rPr>
                <w:rFonts w:hint="eastAsia" w:ascii="宋体" w:hAnsi="宋体" w:cs="宋体"/>
                <w:szCs w:val="21"/>
              </w:rPr>
              <w:t>做好标本流转查询和追溯功能的维护工作。</w:t>
            </w:r>
          </w:p>
        </w:tc>
      </w:tr>
    </w:tbl>
    <w:p>
      <w:pPr>
        <w:spacing w:line="360" w:lineRule="auto"/>
        <w:rPr>
          <w:rFonts w:hint="eastAsia" w:ascii="宋体" w:hAnsi="宋体" w:cs="宋体"/>
          <w:b/>
          <w:bCs/>
          <w:sz w:val="28"/>
          <w:szCs w:val="28"/>
        </w:rPr>
      </w:pPr>
      <w:r>
        <w:rPr>
          <w:rFonts w:hint="eastAsia" w:ascii="宋体" w:hAnsi="宋体" w:cs="宋体"/>
          <w:b/>
          <w:bCs/>
          <w:sz w:val="28"/>
          <w:szCs w:val="28"/>
        </w:rPr>
        <w:t>四、投标供应商要求</w:t>
      </w:r>
    </w:p>
    <w:p>
      <w:pPr>
        <w:adjustRightInd w:val="0"/>
        <w:snapToGrid w:val="0"/>
        <w:spacing w:line="360" w:lineRule="auto"/>
        <w:rPr>
          <w:rFonts w:hint="eastAsia" w:ascii="宋体" w:hAnsi="宋体" w:cs="宋体"/>
          <w:bCs/>
          <w:sz w:val="24"/>
        </w:rPr>
      </w:pPr>
      <w:r>
        <w:rPr>
          <w:rFonts w:hint="eastAsia" w:ascii="宋体" w:hAnsi="宋体" w:cs="宋体"/>
          <w:bCs/>
          <w:sz w:val="24"/>
        </w:rPr>
        <w:t>1报价人的总报价应包括保修期间更换设备的</w:t>
      </w:r>
      <w:r>
        <w:rPr>
          <w:rFonts w:hint="eastAsia" w:ascii="宋体" w:hAnsi="宋体" w:cs="宋体"/>
          <w:bCs/>
          <w:sz w:val="24"/>
          <w:lang w:val="en-US" w:eastAsia="zh-CN"/>
        </w:rPr>
        <w:t>备件</w:t>
      </w:r>
      <w:r>
        <w:rPr>
          <w:rFonts w:hint="eastAsia" w:ascii="宋体" w:hAnsi="宋体" w:cs="宋体"/>
          <w:bCs/>
          <w:sz w:val="24"/>
        </w:rPr>
        <w:t>费、关税、运至指定地点的运输费、保险费和伴随服务费及安装调试费用、定期检修等完成本次规定年限内各项设备维保服务所有可能产生的一切相关费用。</w:t>
      </w:r>
    </w:p>
    <w:p>
      <w:pPr>
        <w:adjustRightInd w:val="0"/>
        <w:snapToGrid w:val="0"/>
        <w:spacing w:line="360" w:lineRule="auto"/>
        <w:rPr>
          <w:rFonts w:hint="eastAsia" w:ascii="宋体" w:hAnsi="宋体" w:cs="宋体"/>
          <w:bCs/>
          <w:sz w:val="24"/>
        </w:rPr>
      </w:pPr>
      <w:r>
        <w:rPr>
          <w:rFonts w:hint="eastAsia" w:ascii="宋体" w:hAnsi="宋体" w:cs="宋体"/>
          <w:bCs/>
          <w:sz w:val="24"/>
        </w:rPr>
        <w:t>2保修期间更换的设备的制造标准、安装标准及技术规范等有关资料必须符合现行我国相应的有关标准、规范要求。</w:t>
      </w:r>
    </w:p>
    <w:p>
      <w:pPr>
        <w:adjustRightInd w:val="0"/>
        <w:snapToGrid w:val="0"/>
        <w:spacing w:line="360" w:lineRule="auto"/>
        <w:rPr>
          <w:rFonts w:hint="eastAsia" w:ascii="宋体" w:hAnsi="宋体" w:cs="宋体"/>
          <w:bCs/>
          <w:sz w:val="24"/>
        </w:rPr>
      </w:pPr>
      <w:r>
        <w:rPr>
          <w:rFonts w:hint="eastAsia" w:ascii="宋体" w:hAnsi="宋体" w:cs="宋体"/>
          <w:bCs/>
          <w:sz w:val="24"/>
        </w:rPr>
        <w:t>3保修期间若需更换损坏的零部件，采购人根据合同进行货物品牌、产地、设备配置、数量、合格证明、技术资料等方面的验收。验收时报价人代表必须在场。验收合格后，报价人凭采购人出具的验收合格书办理有关手续。</w:t>
      </w:r>
    </w:p>
    <w:p>
      <w:pPr>
        <w:adjustRightInd w:val="0"/>
        <w:snapToGrid w:val="0"/>
        <w:spacing w:line="360" w:lineRule="auto"/>
        <w:rPr>
          <w:rFonts w:hint="eastAsia" w:ascii="宋体" w:hAnsi="宋体" w:cs="宋体"/>
          <w:bCs/>
          <w:sz w:val="24"/>
        </w:rPr>
      </w:pPr>
      <w:r>
        <w:rPr>
          <w:rFonts w:hint="eastAsia" w:ascii="宋体" w:hAnsi="宋体" w:cs="宋体"/>
          <w:bCs/>
          <w:sz w:val="24"/>
        </w:rPr>
        <w:t>4报价人提供维保服务时拟供设备和器材必须是未使用过的全新的合格产品，符合国家相关法律法规要求。</w:t>
      </w:r>
    </w:p>
    <w:p>
      <w:pPr>
        <w:adjustRightInd w:val="0"/>
        <w:snapToGrid w:val="0"/>
        <w:spacing w:line="360" w:lineRule="auto"/>
        <w:rPr>
          <w:rFonts w:hint="eastAsia" w:ascii="宋体" w:hAnsi="宋体" w:cs="宋体"/>
          <w:bCs/>
          <w:sz w:val="24"/>
        </w:rPr>
      </w:pPr>
      <w:r>
        <w:rPr>
          <w:rFonts w:hint="eastAsia" w:ascii="宋体" w:hAnsi="宋体" w:cs="宋体"/>
          <w:bCs/>
          <w:sz w:val="24"/>
        </w:rPr>
        <w:t>5报价人提供的技术资料应能满足确保系统正常运行所需的管理，运营及维护等有关的全套技术文件。</w:t>
      </w:r>
    </w:p>
    <w:p>
      <w:pPr>
        <w:adjustRightInd w:val="0"/>
        <w:snapToGrid w:val="0"/>
        <w:spacing w:line="360" w:lineRule="auto"/>
        <w:rPr>
          <w:rFonts w:hint="eastAsia" w:ascii="宋体" w:hAnsi="宋体" w:cs="宋体"/>
          <w:bCs/>
          <w:sz w:val="24"/>
        </w:rPr>
      </w:pPr>
      <w:r>
        <w:rPr>
          <w:rFonts w:hint="eastAsia" w:ascii="宋体" w:hAnsi="宋体" w:cs="宋体"/>
          <w:bCs/>
          <w:sz w:val="24"/>
        </w:rPr>
        <w:t>6在保修期内若发生设备质量问题，报价人应在收到采购人电话或书面通知（以传真件形式）的24小时内派相关人员到现场按合同要求处理有关事宜。</w:t>
      </w:r>
    </w:p>
    <w:p>
      <w:pPr>
        <w:adjustRightInd w:val="0"/>
        <w:snapToGrid w:val="0"/>
        <w:spacing w:line="360" w:lineRule="auto"/>
        <w:rPr>
          <w:rFonts w:hint="eastAsia" w:ascii="宋体" w:hAnsi="宋体" w:cs="宋体"/>
          <w:sz w:val="24"/>
        </w:rPr>
      </w:pPr>
      <w:r>
        <w:rPr>
          <w:rFonts w:hint="eastAsia" w:ascii="宋体" w:hAnsi="宋体" w:cs="宋体"/>
          <w:bCs/>
          <w:sz w:val="24"/>
        </w:rPr>
        <w:t>7当采购人设备发生故障时，报价人必须在到达现场后3日内为采购人解决故障。</w:t>
      </w:r>
    </w:p>
    <w:p>
      <w:pPr>
        <w:spacing w:line="360" w:lineRule="auto"/>
        <w:rPr>
          <w:rFonts w:hint="eastAsia" w:ascii="宋体" w:hAnsi="宋体" w:cs="宋体"/>
          <w:b/>
          <w:bCs/>
          <w:sz w:val="28"/>
          <w:szCs w:val="28"/>
        </w:rPr>
      </w:pPr>
      <w:r>
        <w:rPr>
          <w:rFonts w:hint="eastAsia" w:ascii="宋体" w:hAnsi="宋体" w:cs="宋体"/>
          <w:b/>
          <w:bCs/>
          <w:sz w:val="28"/>
          <w:szCs w:val="28"/>
        </w:rPr>
        <w:t>五、付款方式：</w:t>
      </w:r>
    </w:p>
    <w:p>
      <w:pPr>
        <w:spacing w:line="360" w:lineRule="auto"/>
        <w:ind w:firstLine="480" w:firstLineChars="200"/>
        <w:rPr>
          <w:rFonts w:hint="eastAsia" w:ascii="宋体" w:hAnsi="宋体" w:cs="宋体"/>
          <w:b/>
          <w:bCs/>
          <w:sz w:val="24"/>
        </w:rPr>
      </w:pPr>
      <w:r>
        <w:rPr>
          <w:rFonts w:hint="eastAsia" w:ascii="宋体" w:hAnsi="宋体" w:cs="宋体"/>
          <w:sz w:val="24"/>
          <w:lang w:val="en-US" w:eastAsia="zh-CN"/>
        </w:rPr>
        <w:t>维保周期结束后由区域负责工程师对该台设备的维保服务进行评价，评价合格及以上60工作日内付清剩余合同款项，如不合格进行处罚扣除部分剩余合同款项</w:t>
      </w:r>
      <w:r>
        <w:rPr>
          <w:rFonts w:hint="eastAsia" w:ascii="宋体" w:hAnsi="宋体" w:cs="宋体"/>
          <w:sz w:val="24"/>
        </w:rPr>
        <w:t xml:space="preserve">。 </w:t>
      </w:r>
    </w:p>
    <w:p>
      <w:pPr>
        <w:keepNext w:val="0"/>
        <w:keepLines w:val="0"/>
        <w:pageBreakBefore w:val="0"/>
        <w:numPr>
          <w:ilvl w:val="0"/>
          <w:numId w:val="0"/>
        </w:numPr>
        <w:kinsoku/>
        <w:wordWrap/>
        <w:overflowPunct w:val="0"/>
        <w:topLinePunct w:val="0"/>
        <w:autoSpaceDE/>
        <w:autoSpaceDN/>
        <w:bidi w:val="0"/>
        <w:adjustRightInd/>
        <w:snapToGrid/>
        <w:spacing w:line="360" w:lineRule="auto"/>
        <w:rPr>
          <w:rFonts w:hint="eastAsia" w:ascii="宋体" w:hAnsi="宋体" w:eastAsia="宋体" w:cs="黑体"/>
          <w:b/>
          <w:bCs/>
          <w:sz w:val="28"/>
          <w:szCs w:val="28"/>
          <w:lang w:val="en-US" w:eastAsia="zh-CN"/>
        </w:rPr>
      </w:pPr>
      <w:r>
        <w:rPr>
          <w:rFonts w:hint="eastAsia" w:ascii="宋体" w:hAnsi="宋体" w:cs="黑体"/>
          <w:b/>
          <w:bCs/>
          <w:sz w:val="28"/>
          <w:szCs w:val="28"/>
          <w:lang w:val="en-US" w:eastAsia="zh-CN"/>
        </w:rPr>
        <w:t>六、</w:t>
      </w:r>
      <w:r>
        <w:rPr>
          <w:rFonts w:hint="eastAsia" w:ascii="宋体" w:hAnsi="宋体" w:eastAsia="宋体" w:cs="黑体"/>
          <w:b/>
          <w:bCs/>
          <w:sz w:val="28"/>
          <w:szCs w:val="28"/>
          <w:lang w:val="en-US" w:eastAsia="zh-CN"/>
        </w:rPr>
        <w:t>定标方法</w:t>
      </w:r>
    </w:p>
    <w:p>
      <w:pPr>
        <w:pStyle w:val="2"/>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1、确定中标候选人</w:t>
      </w:r>
    </w:p>
    <w:p>
      <w:pPr>
        <w:pStyle w:val="2"/>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1.1由评标委员会确定中标候选人。</w:t>
      </w:r>
    </w:p>
    <w:p>
      <w:pPr>
        <w:pStyle w:val="2"/>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1.2评标委员会依据法律、法规及</w:t>
      </w:r>
      <w:r>
        <w:rPr>
          <w:rFonts w:hint="eastAsia" w:ascii="宋体" w:hAnsi="宋体" w:cs="宋体"/>
          <w:sz w:val="24"/>
          <w:szCs w:val="24"/>
          <w:lang w:val="en-US" w:eastAsia="zh-CN"/>
        </w:rPr>
        <w:t>遴选</w:t>
      </w:r>
      <w:r>
        <w:rPr>
          <w:rFonts w:hint="eastAsia" w:ascii="宋体" w:hAnsi="宋体" w:eastAsia="宋体" w:cs="宋体"/>
          <w:sz w:val="24"/>
          <w:szCs w:val="24"/>
        </w:rPr>
        <w:t>文件有关规定按评审后得分（即技术分与商务分之和）由高到低顺序排序，得分前二名的</w:t>
      </w:r>
      <w:r>
        <w:rPr>
          <w:rFonts w:hint="eastAsia" w:ascii="宋体" w:hAnsi="宋体" w:eastAsia="宋体" w:cs="宋体"/>
          <w:sz w:val="24"/>
          <w:szCs w:val="24"/>
          <w:lang w:val="en-US" w:eastAsia="zh-CN"/>
        </w:rPr>
        <w:t>投标</w:t>
      </w:r>
      <w:r>
        <w:rPr>
          <w:rFonts w:hint="eastAsia" w:ascii="宋体" w:hAnsi="宋体" w:eastAsia="宋体" w:cs="宋体"/>
          <w:sz w:val="24"/>
          <w:szCs w:val="24"/>
        </w:rPr>
        <w:t>人确定为该项目的第一和第二中标候选人（得分相同报价低的排序第一；得分且报价相同的，技术指标优的排序第一）向</w:t>
      </w:r>
      <w:r>
        <w:rPr>
          <w:rFonts w:hint="eastAsia" w:ascii="宋体" w:hAnsi="宋体" w:eastAsia="宋体" w:cs="宋体"/>
          <w:sz w:val="24"/>
          <w:szCs w:val="24"/>
          <w:lang w:val="en-US" w:eastAsia="zh-CN"/>
        </w:rPr>
        <w:t>采购</w:t>
      </w:r>
      <w:r>
        <w:rPr>
          <w:rFonts w:hint="eastAsia" w:ascii="宋体" w:hAnsi="宋体" w:eastAsia="宋体" w:cs="宋体"/>
          <w:sz w:val="24"/>
          <w:szCs w:val="24"/>
        </w:rPr>
        <w:t>人推荐。</w:t>
      </w:r>
    </w:p>
    <w:p>
      <w:pPr>
        <w:pStyle w:val="2"/>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2、确定中标人</w:t>
      </w:r>
    </w:p>
    <w:p>
      <w:pPr>
        <w:pStyle w:val="2"/>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sz w:val="24"/>
          <w:szCs w:val="24"/>
          <w:lang w:val="en-US" w:eastAsia="zh-CN"/>
        </w:rPr>
        <w:t>采购</w:t>
      </w:r>
      <w:r>
        <w:rPr>
          <w:rFonts w:hint="eastAsia" w:ascii="宋体" w:hAnsi="宋体" w:eastAsia="宋体" w:cs="宋体"/>
          <w:sz w:val="24"/>
          <w:szCs w:val="24"/>
        </w:rPr>
        <w:t>人按照评标报告中推荐的中标候选供应商顺序确定中标人；也可以事先授权评标委员会按照推荐的中标候选供应商顺序直接确定中标人。中标候选人并列的，采取随机抽取的方式确定。</w:t>
      </w:r>
    </w:p>
    <w:p>
      <w:pPr>
        <w:pStyle w:val="2"/>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2.2如中标人放弃中标、或未能在规定时间内与采购单位签订合同的；或者经质疑，</w:t>
      </w:r>
      <w:r>
        <w:rPr>
          <w:rFonts w:hint="eastAsia" w:ascii="宋体" w:hAnsi="宋体" w:eastAsia="宋体" w:cs="宋体"/>
          <w:sz w:val="24"/>
          <w:szCs w:val="24"/>
          <w:lang w:val="en-US" w:eastAsia="zh-CN"/>
        </w:rPr>
        <w:t>采购</w:t>
      </w:r>
      <w:r>
        <w:rPr>
          <w:rFonts w:hint="eastAsia" w:ascii="宋体" w:hAnsi="宋体" w:eastAsia="宋体" w:cs="宋体"/>
          <w:sz w:val="24"/>
          <w:szCs w:val="24"/>
        </w:rPr>
        <w:t>人审查后，确因排名第一的候选人在本次采购活动中存在违法违规行为或其他原因使质疑成立的，</w:t>
      </w:r>
      <w:r>
        <w:rPr>
          <w:rFonts w:hint="eastAsia" w:ascii="宋体" w:hAnsi="宋体" w:eastAsia="宋体" w:cs="宋体"/>
          <w:sz w:val="24"/>
          <w:szCs w:val="24"/>
          <w:lang w:val="en-US" w:eastAsia="zh-CN"/>
        </w:rPr>
        <w:t>采购</w:t>
      </w:r>
      <w:r>
        <w:rPr>
          <w:rFonts w:hint="eastAsia" w:ascii="宋体" w:hAnsi="宋体" w:eastAsia="宋体" w:cs="宋体"/>
          <w:sz w:val="24"/>
          <w:szCs w:val="24"/>
        </w:rPr>
        <w:t>人可以视情况直接确定排名第二的候选人为中标人或重新组织</w:t>
      </w:r>
      <w:r>
        <w:rPr>
          <w:rFonts w:hint="eastAsia" w:ascii="宋体" w:hAnsi="宋体" w:cs="宋体"/>
          <w:sz w:val="24"/>
          <w:szCs w:val="24"/>
          <w:lang w:val="en-US" w:eastAsia="zh-CN"/>
        </w:rPr>
        <w:t>遴选</w:t>
      </w:r>
      <w:r>
        <w:rPr>
          <w:rFonts w:hint="eastAsia" w:ascii="宋体" w:hAnsi="宋体" w:eastAsia="宋体" w:cs="宋体"/>
          <w:sz w:val="24"/>
          <w:szCs w:val="24"/>
        </w:rPr>
        <w:t>。</w:t>
      </w:r>
    </w:p>
    <w:p>
      <w:pPr>
        <w:pStyle w:val="2"/>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3、</w:t>
      </w:r>
      <w:r>
        <w:rPr>
          <w:rFonts w:hint="eastAsia" w:ascii="宋体" w:hAnsi="宋体" w:eastAsia="宋体" w:cs="宋体"/>
          <w:sz w:val="24"/>
          <w:szCs w:val="24"/>
        </w:rPr>
        <w:t>中标人确定后，</w:t>
      </w:r>
      <w:r>
        <w:rPr>
          <w:rFonts w:hint="eastAsia" w:ascii="宋体" w:hAnsi="宋体" w:eastAsia="宋体" w:cs="宋体"/>
          <w:sz w:val="24"/>
          <w:szCs w:val="24"/>
          <w:lang w:val="en-US" w:eastAsia="zh-CN"/>
        </w:rPr>
        <w:t>采购</w:t>
      </w:r>
      <w:r>
        <w:rPr>
          <w:rFonts w:hint="eastAsia" w:ascii="宋体" w:hAnsi="宋体" w:eastAsia="宋体" w:cs="宋体"/>
          <w:sz w:val="24"/>
          <w:szCs w:val="24"/>
        </w:rPr>
        <w:t>人将在温州市中医院官网公告中标结果，</w:t>
      </w:r>
      <w:r>
        <w:rPr>
          <w:rFonts w:hint="eastAsia" w:ascii="宋体" w:hAnsi="宋体" w:eastAsia="宋体" w:cs="宋体"/>
          <w:sz w:val="24"/>
          <w:szCs w:val="24"/>
          <w:lang w:val="en-US" w:eastAsia="zh-CN"/>
        </w:rPr>
        <w:t>采购</w:t>
      </w:r>
      <w:r>
        <w:rPr>
          <w:rFonts w:hint="eastAsia" w:ascii="宋体" w:hAnsi="宋体" w:eastAsia="宋体" w:cs="宋体"/>
          <w:sz w:val="24"/>
          <w:szCs w:val="24"/>
        </w:rPr>
        <w:t>人向中标人发出中标通知书。</w:t>
      </w:r>
    </w:p>
    <w:p>
      <w:pPr>
        <w:spacing w:line="440" w:lineRule="exact"/>
        <w:ind w:left="557" w:leftChars="208" w:hanging="120" w:hangingChars="50"/>
        <w:rPr>
          <w:rFonts w:ascii="宋体" w:hAnsi="宋体" w:eastAsia="宋体" w:cs="Times New Roman"/>
          <w:bCs/>
          <w:caps/>
          <w:sz w:val="24"/>
          <w:szCs w:val="24"/>
        </w:rPr>
      </w:pPr>
      <w:r>
        <w:rPr>
          <w:rFonts w:hint="eastAsia" w:ascii="宋体" w:hAnsi="宋体" w:eastAsia="宋体" w:cs="Times New Roman"/>
          <w:caps/>
          <w:sz w:val="24"/>
          <w:szCs w:val="24"/>
          <w:lang w:val="en-US" w:eastAsia="zh-CN"/>
        </w:rPr>
        <w:t>4、</w:t>
      </w:r>
      <w:r>
        <w:rPr>
          <w:rFonts w:hint="eastAsia" w:ascii="宋体" w:hAnsi="宋体" w:eastAsia="宋体" w:cs="Times New Roman"/>
          <w:caps/>
          <w:sz w:val="24"/>
          <w:szCs w:val="24"/>
        </w:rPr>
        <w:t>投标截止时间止，如出现有效投标人＜3家时，本项目废标，并重新组织</w:t>
      </w:r>
      <w:r>
        <w:rPr>
          <w:rFonts w:hint="eastAsia" w:ascii="宋体" w:hAnsi="宋体" w:cs="Times New Roman"/>
          <w:caps/>
          <w:sz w:val="24"/>
          <w:szCs w:val="24"/>
          <w:lang w:eastAsia="zh-CN"/>
        </w:rPr>
        <w:t>遴选</w:t>
      </w:r>
      <w:r>
        <w:rPr>
          <w:rFonts w:hint="eastAsia" w:ascii="宋体" w:hAnsi="宋体" w:eastAsia="宋体" w:cs="Times New Roman"/>
          <w:caps/>
          <w:sz w:val="24"/>
          <w:szCs w:val="24"/>
        </w:rPr>
        <w:t>。</w:t>
      </w:r>
    </w:p>
    <w:p>
      <w:pPr>
        <w:numPr>
          <w:ilvl w:val="0"/>
          <w:numId w:val="0"/>
        </w:numPr>
        <w:rPr>
          <w:rFonts w:hint="eastAsia"/>
          <w:sz w:val="24"/>
          <w:szCs w:val="24"/>
        </w:rPr>
      </w:pPr>
    </w:p>
    <w:p>
      <w:pPr>
        <w:numPr>
          <w:ilvl w:val="0"/>
          <w:numId w:val="0"/>
        </w:numPr>
        <w:rPr>
          <w:rFonts w:hint="eastAsia"/>
          <w:b/>
          <w:bCs/>
          <w:sz w:val="28"/>
          <w:szCs w:val="28"/>
        </w:rPr>
      </w:pPr>
      <w:r>
        <w:rPr>
          <w:rFonts w:hint="eastAsia"/>
          <w:b/>
          <w:bCs/>
          <w:sz w:val="28"/>
          <w:szCs w:val="28"/>
          <w:lang w:val="en-US" w:eastAsia="zh-CN"/>
        </w:rPr>
        <w:t>七、</w:t>
      </w:r>
      <w:r>
        <w:rPr>
          <w:rFonts w:hint="eastAsia"/>
          <w:b/>
          <w:bCs/>
          <w:sz w:val="28"/>
          <w:szCs w:val="28"/>
        </w:rPr>
        <w:t>评分细则</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1、技术分的评定（</w:t>
      </w:r>
      <w:r>
        <w:rPr>
          <w:rFonts w:hint="eastAsia" w:ascii="宋体" w:hAnsi="宋体" w:cs="宋体"/>
          <w:sz w:val="24"/>
          <w:szCs w:val="24"/>
          <w:lang w:val="en-US" w:eastAsia="zh-CN"/>
        </w:rPr>
        <w:t>8</w:t>
      </w:r>
      <w:r>
        <w:rPr>
          <w:rFonts w:hint="eastAsia" w:ascii="宋体" w:hAnsi="宋体" w:eastAsia="宋体" w:cs="宋体"/>
          <w:sz w:val="24"/>
          <w:szCs w:val="24"/>
        </w:rPr>
        <w:t>0分)（权值</w:t>
      </w:r>
      <w:r>
        <w:rPr>
          <w:rFonts w:hint="eastAsia" w:ascii="宋体" w:hAnsi="宋体" w:cs="宋体"/>
          <w:sz w:val="24"/>
          <w:szCs w:val="24"/>
          <w:lang w:val="en-US" w:eastAsia="zh-CN"/>
        </w:rPr>
        <w:t>8</w:t>
      </w:r>
      <w:r>
        <w:rPr>
          <w:rFonts w:hint="eastAsia" w:ascii="宋体" w:hAnsi="宋体" w:eastAsia="宋体" w:cs="宋体"/>
          <w:sz w:val="24"/>
          <w:szCs w:val="24"/>
        </w:rPr>
        <w:t>0%）</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各评委成员按下列评分项目进行评判，每人一张评分计算票，并记名。</w:t>
      </w:r>
      <w:r>
        <w:rPr>
          <w:rFonts w:hint="eastAsia" w:ascii="宋体" w:hAnsi="宋体" w:eastAsia="宋体" w:cs="宋体"/>
          <w:sz w:val="24"/>
          <w:szCs w:val="24"/>
          <w:lang w:val="en-US" w:eastAsia="zh-CN"/>
        </w:rPr>
        <w:t>投标</w:t>
      </w:r>
      <w:r>
        <w:rPr>
          <w:rFonts w:hint="eastAsia" w:ascii="宋体" w:hAnsi="宋体" w:eastAsia="宋体" w:cs="宋体"/>
          <w:sz w:val="24"/>
          <w:szCs w:val="24"/>
        </w:rPr>
        <w:t>文件各项评分内容由评标委员会成员各自评分，如某张票的一个因素项目超过规定的范围，则该张票无效。各评标委员会成员对各</w:t>
      </w:r>
      <w:r>
        <w:rPr>
          <w:rFonts w:hint="eastAsia" w:ascii="宋体" w:hAnsi="宋体" w:eastAsia="宋体" w:cs="宋体"/>
          <w:sz w:val="24"/>
          <w:szCs w:val="24"/>
          <w:lang w:val="en-US" w:eastAsia="zh-CN"/>
        </w:rPr>
        <w:t>投标</w:t>
      </w:r>
      <w:r>
        <w:rPr>
          <w:rFonts w:hint="eastAsia" w:ascii="宋体" w:hAnsi="宋体" w:eastAsia="宋体" w:cs="宋体"/>
          <w:sz w:val="24"/>
          <w:szCs w:val="24"/>
        </w:rPr>
        <w:t>人的各项评分内容评分的算术平均值为各</w:t>
      </w:r>
      <w:r>
        <w:rPr>
          <w:rFonts w:hint="eastAsia" w:ascii="宋体" w:hAnsi="宋体" w:eastAsia="宋体" w:cs="宋体"/>
          <w:sz w:val="24"/>
          <w:szCs w:val="24"/>
          <w:lang w:val="en-US" w:eastAsia="zh-CN"/>
        </w:rPr>
        <w:t>投标</w:t>
      </w:r>
      <w:r>
        <w:rPr>
          <w:rFonts w:hint="eastAsia" w:ascii="宋体" w:hAnsi="宋体" w:eastAsia="宋体" w:cs="宋体"/>
          <w:sz w:val="24"/>
          <w:szCs w:val="24"/>
        </w:rPr>
        <w:t>人技术分得分（小数点后按四舍五入保留2位）。</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2、商务标（报价）</w:t>
      </w:r>
      <w:r>
        <w:rPr>
          <w:rFonts w:hint="eastAsia" w:ascii="宋体" w:hAnsi="宋体" w:cs="宋体"/>
          <w:sz w:val="24"/>
          <w:szCs w:val="24"/>
          <w:lang w:val="en-US" w:eastAsia="zh-CN"/>
        </w:rPr>
        <w:t>2</w:t>
      </w:r>
      <w:r>
        <w:rPr>
          <w:rFonts w:hint="eastAsia" w:ascii="宋体" w:hAnsi="宋体" w:eastAsia="宋体" w:cs="宋体"/>
          <w:sz w:val="24"/>
          <w:szCs w:val="24"/>
        </w:rPr>
        <w:t>0分（权值</w:t>
      </w:r>
      <w:r>
        <w:rPr>
          <w:rFonts w:hint="eastAsia" w:ascii="宋体" w:hAnsi="宋体" w:cs="宋体"/>
          <w:sz w:val="24"/>
          <w:szCs w:val="24"/>
          <w:lang w:val="en-US" w:eastAsia="zh-CN"/>
        </w:rPr>
        <w:t>2</w:t>
      </w:r>
      <w:r>
        <w:rPr>
          <w:rFonts w:hint="eastAsia" w:ascii="宋体" w:hAnsi="宋体" w:eastAsia="宋体" w:cs="宋体"/>
          <w:sz w:val="24"/>
          <w:szCs w:val="24"/>
        </w:rPr>
        <w:t>0%）</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满足</w:t>
      </w:r>
      <w:r>
        <w:rPr>
          <w:rFonts w:hint="eastAsia" w:ascii="宋体" w:hAnsi="宋体" w:cs="宋体"/>
          <w:sz w:val="24"/>
          <w:szCs w:val="24"/>
          <w:lang w:val="en-US" w:eastAsia="zh-CN"/>
        </w:rPr>
        <w:t>遴选</w:t>
      </w:r>
      <w:r>
        <w:rPr>
          <w:rFonts w:hint="eastAsia" w:ascii="宋体" w:hAnsi="宋体" w:eastAsia="宋体" w:cs="宋体"/>
          <w:sz w:val="24"/>
          <w:szCs w:val="24"/>
        </w:rPr>
        <w:t>文件要求且报价最低的报价为评审基准价，其余</w:t>
      </w:r>
      <w:r>
        <w:rPr>
          <w:rFonts w:hint="eastAsia" w:ascii="宋体" w:hAnsi="宋体" w:eastAsia="宋体" w:cs="宋体"/>
          <w:sz w:val="24"/>
          <w:szCs w:val="24"/>
          <w:lang w:val="en-US" w:eastAsia="zh-CN"/>
        </w:rPr>
        <w:t>投标</w:t>
      </w:r>
      <w:r>
        <w:rPr>
          <w:rFonts w:hint="eastAsia" w:ascii="宋体" w:hAnsi="宋体" w:eastAsia="宋体" w:cs="宋体"/>
          <w:sz w:val="24"/>
          <w:szCs w:val="24"/>
        </w:rPr>
        <w:t>人报价与该基准价对比，计算出商务报价评分值（保留小数2位）：</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1）有效</w:t>
      </w:r>
      <w:r>
        <w:rPr>
          <w:rFonts w:hint="eastAsia" w:ascii="宋体" w:hAnsi="宋体" w:eastAsia="宋体" w:cs="宋体"/>
          <w:sz w:val="24"/>
          <w:szCs w:val="24"/>
          <w:lang w:val="en-US" w:eastAsia="zh-CN"/>
        </w:rPr>
        <w:t>投标</w:t>
      </w:r>
      <w:r>
        <w:rPr>
          <w:rFonts w:hint="eastAsia" w:ascii="宋体" w:hAnsi="宋体" w:eastAsia="宋体" w:cs="宋体"/>
          <w:sz w:val="24"/>
          <w:szCs w:val="24"/>
        </w:rPr>
        <w:t>人的报价等于评审基准价时其报价分为满分</w:t>
      </w:r>
      <w:r>
        <w:rPr>
          <w:rFonts w:hint="eastAsia" w:ascii="宋体" w:hAnsi="宋体" w:cs="宋体"/>
          <w:sz w:val="24"/>
          <w:szCs w:val="24"/>
          <w:lang w:val="en-US" w:eastAsia="zh-CN"/>
        </w:rPr>
        <w:t>20分</w:t>
      </w:r>
      <w:r>
        <w:rPr>
          <w:rFonts w:hint="eastAsia" w:ascii="宋体" w:hAnsi="宋体" w:eastAsia="宋体" w:cs="宋体"/>
          <w:sz w:val="24"/>
          <w:szCs w:val="24"/>
        </w:rPr>
        <w:t>；</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2）其他</w:t>
      </w:r>
      <w:r>
        <w:rPr>
          <w:rFonts w:hint="eastAsia" w:ascii="宋体" w:hAnsi="宋体" w:eastAsia="宋体" w:cs="宋体"/>
          <w:sz w:val="24"/>
          <w:szCs w:val="24"/>
          <w:lang w:val="en-US" w:eastAsia="zh-CN"/>
        </w:rPr>
        <w:t>投标</w:t>
      </w:r>
      <w:r>
        <w:rPr>
          <w:rFonts w:hint="eastAsia" w:ascii="宋体" w:hAnsi="宋体" w:eastAsia="宋体" w:cs="宋体"/>
          <w:sz w:val="24"/>
          <w:szCs w:val="24"/>
        </w:rPr>
        <w:t>人的价格分按以下公式计算：</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报价得分=（评分基准价/</w:t>
      </w:r>
      <w:r>
        <w:rPr>
          <w:rFonts w:hint="eastAsia" w:ascii="宋体" w:hAnsi="宋体" w:eastAsia="宋体" w:cs="宋体"/>
          <w:sz w:val="24"/>
          <w:szCs w:val="24"/>
          <w:lang w:val="en-US" w:eastAsia="zh-CN"/>
        </w:rPr>
        <w:t>投标</w:t>
      </w:r>
      <w:r>
        <w:rPr>
          <w:rFonts w:hint="eastAsia" w:ascii="宋体" w:hAnsi="宋体" w:eastAsia="宋体" w:cs="宋体"/>
          <w:sz w:val="24"/>
          <w:szCs w:val="24"/>
        </w:rPr>
        <w:t>人</w:t>
      </w:r>
      <w:r>
        <w:rPr>
          <w:rFonts w:hint="eastAsia" w:ascii="宋体" w:hAnsi="宋体" w:eastAsia="宋体" w:cs="宋体"/>
          <w:sz w:val="24"/>
          <w:szCs w:val="24"/>
          <w:lang w:val="en-US" w:eastAsia="zh-CN"/>
        </w:rPr>
        <w:t>投标</w:t>
      </w:r>
      <w:r>
        <w:rPr>
          <w:rFonts w:hint="eastAsia" w:ascii="宋体" w:hAnsi="宋体" w:eastAsia="宋体" w:cs="宋体"/>
          <w:sz w:val="24"/>
          <w:szCs w:val="24"/>
        </w:rPr>
        <w:t>报价）× 价格权值 ×100（保留小数2位）</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3、有效</w:t>
      </w:r>
      <w:r>
        <w:rPr>
          <w:rFonts w:hint="eastAsia" w:ascii="宋体" w:hAnsi="宋体" w:eastAsia="宋体" w:cs="宋体"/>
          <w:sz w:val="24"/>
          <w:szCs w:val="24"/>
          <w:lang w:val="en-US" w:eastAsia="zh-CN"/>
        </w:rPr>
        <w:t>投标</w:t>
      </w:r>
      <w:r>
        <w:rPr>
          <w:rFonts w:hint="eastAsia" w:ascii="宋体" w:hAnsi="宋体" w:eastAsia="宋体" w:cs="宋体"/>
          <w:sz w:val="24"/>
          <w:szCs w:val="24"/>
        </w:rPr>
        <w:t>人的综合得分为技术分和商务（报价）分的总和。</w:t>
      </w:r>
    </w:p>
    <w:p>
      <w:pPr>
        <w:numPr>
          <w:ilvl w:val="0"/>
          <w:numId w:val="0"/>
        </w:numPr>
        <w:spacing w:line="360" w:lineRule="auto"/>
        <w:ind w:firstLine="480" w:firstLineChars="200"/>
        <w:rPr>
          <w:rFonts w:hint="eastAsia"/>
          <w:lang w:val="en-US" w:eastAsia="zh-CN"/>
        </w:rPr>
      </w:pPr>
      <w:r>
        <w:rPr>
          <w:rFonts w:hint="eastAsia" w:ascii="宋体" w:hAnsi="宋体" w:eastAsia="宋体" w:cs="宋体"/>
          <w:sz w:val="24"/>
          <w:szCs w:val="24"/>
        </w:rPr>
        <w:t>4、评标委员会认为</w:t>
      </w:r>
      <w:r>
        <w:rPr>
          <w:rFonts w:hint="eastAsia" w:ascii="宋体" w:hAnsi="宋体" w:eastAsia="宋体" w:cs="宋体"/>
          <w:sz w:val="24"/>
          <w:szCs w:val="24"/>
          <w:lang w:val="en-US" w:eastAsia="zh-CN"/>
        </w:rPr>
        <w:t>投标</w:t>
      </w:r>
      <w:r>
        <w:rPr>
          <w:rFonts w:hint="eastAsia" w:ascii="宋体" w:hAnsi="宋体" w:eastAsia="宋体" w:cs="宋体"/>
          <w:sz w:val="24"/>
          <w:szCs w:val="24"/>
        </w:rPr>
        <w:t>人的报价明显低于其他通过符合性审查</w:t>
      </w:r>
      <w:r>
        <w:rPr>
          <w:rFonts w:hint="eastAsia" w:ascii="宋体" w:hAnsi="宋体" w:eastAsia="宋体" w:cs="宋体"/>
          <w:sz w:val="24"/>
          <w:szCs w:val="24"/>
          <w:lang w:val="en-US" w:eastAsia="zh-CN"/>
        </w:rPr>
        <w:t>投标</w:t>
      </w:r>
      <w:r>
        <w:rPr>
          <w:rFonts w:hint="eastAsia" w:ascii="宋体" w:hAnsi="宋体" w:eastAsia="宋体" w:cs="宋体"/>
          <w:sz w:val="24"/>
          <w:szCs w:val="24"/>
        </w:rPr>
        <w:t>人的报价，有可能影响产品质量或者不能诚信履约的，应当要求其在评标现场合理的时间内提供书面说明，必要时提交相关证明材料；</w:t>
      </w:r>
      <w:r>
        <w:rPr>
          <w:rFonts w:hint="eastAsia" w:ascii="宋体" w:hAnsi="宋体" w:eastAsia="宋体" w:cs="宋体"/>
          <w:sz w:val="24"/>
          <w:szCs w:val="24"/>
          <w:lang w:val="en-US" w:eastAsia="zh-CN"/>
        </w:rPr>
        <w:t>投标</w:t>
      </w:r>
      <w:r>
        <w:rPr>
          <w:rFonts w:hint="eastAsia" w:ascii="宋体" w:hAnsi="宋体" w:eastAsia="宋体" w:cs="宋体"/>
          <w:sz w:val="24"/>
          <w:szCs w:val="24"/>
        </w:rPr>
        <w:t>人不能证明其报价合理性的，评标委员会应当将其作为无效</w:t>
      </w:r>
      <w:r>
        <w:rPr>
          <w:rFonts w:hint="eastAsia" w:ascii="宋体" w:hAnsi="宋体" w:eastAsia="宋体" w:cs="宋体"/>
          <w:sz w:val="24"/>
          <w:szCs w:val="24"/>
          <w:lang w:val="en-US" w:eastAsia="zh-CN"/>
        </w:rPr>
        <w:t>投标</w:t>
      </w:r>
      <w:r>
        <w:rPr>
          <w:rFonts w:hint="eastAsia" w:ascii="宋体" w:hAnsi="宋体" w:eastAsia="宋体" w:cs="宋体"/>
          <w:sz w:val="24"/>
          <w:szCs w:val="24"/>
        </w:rPr>
        <w:t>处理。</w:t>
      </w:r>
    </w:p>
    <w:p>
      <w:pPr>
        <w:rPr>
          <w:rFonts w:hint="eastAsia"/>
          <w:lang w:val="en-US" w:eastAsia="zh-CN"/>
        </w:rPr>
      </w:pPr>
    </w:p>
    <w:p>
      <w:pPr>
        <w:pStyle w:val="3"/>
        <w:spacing w:line="360" w:lineRule="auto"/>
        <w:rPr>
          <w:rFonts w:hint="default" w:eastAsia="宋体"/>
          <w:sz w:val="28"/>
          <w:szCs w:val="28"/>
          <w:lang w:val="en-US" w:eastAsia="zh-CN"/>
        </w:rPr>
      </w:pPr>
    </w:p>
    <w:p>
      <w:pPr>
        <w:spacing w:line="360" w:lineRule="auto"/>
        <w:rPr>
          <w:rFonts w:hint="eastAsia" w:ascii="宋体" w:hAnsi="宋体"/>
          <w:b/>
          <w:sz w:val="24"/>
          <w:szCs w:val="24"/>
        </w:rPr>
      </w:pPr>
      <w:r>
        <w:rPr>
          <w:rFonts w:hint="eastAsia" w:ascii="宋体" w:hAnsi="宋体"/>
          <w:b/>
          <w:sz w:val="24"/>
          <w:szCs w:val="24"/>
          <w:lang w:val="en-US" w:eastAsia="zh-CN"/>
        </w:rPr>
        <w:t>1、</w:t>
      </w:r>
      <w:r>
        <w:rPr>
          <w:rFonts w:hint="eastAsia" w:ascii="宋体" w:hAnsi="宋体"/>
          <w:b/>
          <w:sz w:val="24"/>
          <w:szCs w:val="24"/>
        </w:rPr>
        <w:t>技术</w:t>
      </w:r>
      <w:r>
        <w:rPr>
          <w:rFonts w:hint="eastAsia" w:ascii="宋体" w:hAnsi="宋体"/>
          <w:b/>
          <w:sz w:val="24"/>
          <w:szCs w:val="24"/>
          <w:lang w:val="en-US" w:eastAsia="zh-CN"/>
        </w:rPr>
        <w:t>评分：满分8</w:t>
      </w:r>
      <w:r>
        <w:rPr>
          <w:rFonts w:hint="eastAsia" w:ascii="宋体" w:hAnsi="宋体"/>
          <w:b/>
          <w:sz w:val="24"/>
          <w:szCs w:val="24"/>
        </w:rPr>
        <w:t>0分</w:t>
      </w:r>
    </w:p>
    <w:p>
      <w:pPr>
        <w:rPr>
          <w:rFonts w:hint="eastAsia"/>
        </w:rPr>
      </w:pPr>
    </w:p>
    <w:tbl>
      <w:tblPr>
        <w:tblStyle w:val="13"/>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103"/>
        <w:gridCol w:w="5932"/>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序号</w:t>
            </w:r>
          </w:p>
        </w:tc>
        <w:tc>
          <w:tcPr>
            <w:tcW w:w="21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评分内容</w:t>
            </w:r>
          </w:p>
        </w:tc>
        <w:tc>
          <w:tcPr>
            <w:tcW w:w="59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评分细则</w:t>
            </w:r>
          </w:p>
        </w:tc>
        <w:tc>
          <w:tcPr>
            <w:tcW w:w="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w:t>
            </w:r>
          </w:p>
        </w:tc>
        <w:tc>
          <w:tcPr>
            <w:tcW w:w="2103" w:type="dxa"/>
            <w:shd w:val="clear" w:color="auto" w:fill="auto"/>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遴选</w:t>
            </w:r>
            <w:r>
              <w:rPr>
                <w:rFonts w:hint="eastAsia" w:ascii="新宋体" w:hAnsi="新宋体" w:eastAsia="新宋体" w:cs="新宋体"/>
                <w:bCs/>
                <w:color w:val="auto"/>
                <w:sz w:val="22"/>
                <w:szCs w:val="22"/>
                <w:highlight w:val="none"/>
              </w:rPr>
              <w:t>需求响应</w:t>
            </w:r>
          </w:p>
        </w:tc>
        <w:tc>
          <w:tcPr>
            <w:tcW w:w="5932" w:type="dxa"/>
            <w:shd w:val="clear" w:color="auto" w:fill="auto"/>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投标文件能完全响应</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技术服务及商务要求</w:t>
            </w:r>
            <w:r>
              <w:rPr>
                <w:rFonts w:hint="eastAsia" w:ascii="新宋体" w:hAnsi="新宋体" w:eastAsia="新宋体" w:cs="新宋体"/>
                <w:bCs/>
                <w:color w:val="auto"/>
                <w:sz w:val="22"/>
                <w:szCs w:val="22"/>
                <w:highlight w:val="none"/>
              </w:rPr>
              <w:t>”的内容得</w:t>
            </w:r>
            <w:r>
              <w:rPr>
                <w:rFonts w:hint="eastAsia" w:ascii="新宋体" w:hAnsi="新宋体" w:eastAsia="新宋体" w:cs="新宋体"/>
                <w:bCs/>
                <w:color w:val="auto"/>
                <w:sz w:val="22"/>
                <w:szCs w:val="22"/>
                <w:highlight w:val="none"/>
                <w:lang w:val="en-US" w:eastAsia="zh-CN"/>
              </w:rPr>
              <w:t>41</w:t>
            </w:r>
            <w:r>
              <w:rPr>
                <w:rFonts w:hint="eastAsia" w:ascii="新宋体" w:hAnsi="新宋体" w:eastAsia="新宋体" w:cs="新宋体"/>
                <w:bCs/>
                <w:color w:val="auto"/>
                <w:sz w:val="22"/>
                <w:szCs w:val="22"/>
                <w:highlight w:val="none"/>
              </w:rPr>
              <w:t>分，标注</w:t>
            </w:r>
            <w:r>
              <w:rPr>
                <w:rFonts w:hint="eastAsia" w:ascii="新宋体" w:hAnsi="新宋体" w:eastAsia="新宋体" w:cs="新宋体"/>
                <w:color w:val="auto"/>
                <w:sz w:val="22"/>
                <w:szCs w:val="22"/>
                <w:highlight w:val="none"/>
              </w:rPr>
              <w:t>★</w:t>
            </w:r>
            <w:r>
              <w:rPr>
                <w:rFonts w:hint="eastAsia" w:ascii="新宋体" w:hAnsi="新宋体" w:eastAsia="新宋体" w:cs="新宋体"/>
                <w:bCs/>
                <w:color w:val="auto"/>
                <w:sz w:val="22"/>
                <w:szCs w:val="22"/>
                <w:highlight w:val="none"/>
              </w:rPr>
              <w:t>条款</w:t>
            </w:r>
            <w:r>
              <w:rPr>
                <w:rFonts w:hint="eastAsia" w:ascii="新宋体" w:hAnsi="新宋体" w:eastAsia="新宋体" w:cs="新宋体"/>
                <w:bCs/>
                <w:color w:val="auto"/>
                <w:sz w:val="22"/>
                <w:szCs w:val="22"/>
                <w:highlight w:val="none"/>
                <w:lang w:val="en-US" w:eastAsia="zh-CN"/>
              </w:rPr>
              <w:t>负偏离的</w:t>
            </w:r>
            <w:r>
              <w:rPr>
                <w:rFonts w:hint="eastAsia" w:ascii="新宋体" w:hAnsi="新宋体" w:eastAsia="新宋体" w:cs="新宋体"/>
                <w:bCs/>
                <w:color w:val="auto"/>
                <w:sz w:val="22"/>
                <w:szCs w:val="22"/>
                <w:highlight w:val="none"/>
              </w:rPr>
              <w:t>，每一条扣5分，其余条款</w:t>
            </w:r>
            <w:r>
              <w:rPr>
                <w:rFonts w:hint="eastAsia" w:ascii="新宋体" w:hAnsi="新宋体" w:eastAsia="新宋体" w:cs="新宋体"/>
                <w:bCs/>
                <w:color w:val="auto"/>
                <w:sz w:val="22"/>
                <w:szCs w:val="22"/>
                <w:highlight w:val="none"/>
                <w:lang w:val="en-US" w:eastAsia="zh-CN"/>
              </w:rPr>
              <w:t>负偏离的</w:t>
            </w:r>
            <w:r>
              <w:rPr>
                <w:rFonts w:hint="eastAsia" w:ascii="新宋体" w:hAnsi="新宋体" w:eastAsia="新宋体" w:cs="新宋体"/>
                <w:bCs/>
                <w:color w:val="auto"/>
                <w:sz w:val="22"/>
                <w:szCs w:val="22"/>
                <w:highlight w:val="none"/>
              </w:rPr>
              <w:t>，扣2分，扣完为止。</w:t>
            </w:r>
          </w:p>
        </w:tc>
        <w:tc>
          <w:tcPr>
            <w:tcW w:w="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2</w:t>
            </w:r>
          </w:p>
        </w:tc>
        <w:tc>
          <w:tcPr>
            <w:tcW w:w="2103" w:type="dxa"/>
            <w:shd w:val="clear" w:color="auto" w:fill="auto"/>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eastAsia="zh-CN"/>
              </w:rPr>
              <w:t>维保服务方案</w:t>
            </w:r>
          </w:p>
        </w:tc>
        <w:tc>
          <w:tcPr>
            <w:tcW w:w="5932" w:type="dxa"/>
            <w:shd w:val="clear" w:color="auto" w:fill="auto"/>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rPr>
              <w:t>评委对各投标人提供的保修保养、服务方案的内容及可行性进行</w:t>
            </w:r>
            <w:r>
              <w:rPr>
                <w:rFonts w:hint="eastAsia" w:ascii="新宋体" w:hAnsi="新宋体" w:eastAsia="新宋体" w:cs="新宋体"/>
                <w:bCs/>
                <w:color w:val="auto"/>
                <w:sz w:val="22"/>
                <w:szCs w:val="22"/>
                <w:highlight w:val="none"/>
                <w:lang w:val="en-US" w:eastAsia="zh-CN"/>
              </w:rPr>
              <w:t>综合</w:t>
            </w:r>
            <w:r>
              <w:rPr>
                <w:rFonts w:hint="eastAsia" w:ascii="新宋体" w:hAnsi="新宋体" w:eastAsia="新宋体" w:cs="新宋体"/>
                <w:bCs/>
                <w:color w:val="auto"/>
                <w:sz w:val="22"/>
                <w:szCs w:val="22"/>
                <w:highlight w:val="none"/>
              </w:rPr>
              <w:t>评审</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评分范围：6，4，2，0</w:t>
            </w:r>
            <w:r>
              <w:rPr>
                <w:rFonts w:hint="eastAsia" w:ascii="新宋体" w:hAnsi="新宋体" w:eastAsia="新宋体" w:cs="新宋体"/>
                <w:bCs/>
                <w:color w:val="auto"/>
                <w:sz w:val="22"/>
                <w:szCs w:val="22"/>
                <w:highlight w:val="none"/>
                <w:lang w:eastAsia="zh-CN"/>
              </w:rPr>
              <w:t>）</w:t>
            </w:r>
          </w:p>
        </w:tc>
        <w:tc>
          <w:tcPr>
            <w:tcW w:w="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7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3</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kern w:val="2"/>
                <w:sz w:val="22"/>
                <w:szCs w:val="22"/>
                <w:highlight w:val="none"/>
                <w:lang w:val="en-US" w:eastAsia="zh-CN" w:bidi="ar-SA"/>
              </w:rPr>
            </w:pPr>
          </w:p>
        </w:tc>
        <w:tc>
          <w:tcPr>
            <w:tcW w:w="2103" w:type="dxa"/>
            <w:shd w:val="clear" w:color="auto" w:fill="auto"/>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lang w:val="en-US" w:eastAsia="zh-CN" w:bidi="ar-SA"/>
              </w:rPr>
              <w:t>巡检制度</w:t>
            </w:r>
          </w:p>
        </w:tc>
        <w:tc>
          <w:tcPr>
            <w:tcW w:w="59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lang w:val="en-US" w:eastAsia="zh-CN" w:bidi="ar-SA"/>
              </w:rPr>
              <w:t>投标人定期巡检制度和设备运行情况报告制度是否完善，是否定期出具巡检和设备运行情况报告整体方案符合要求</w:t>
            </w:r>
            <w:r>
              <w:rPr>
                <w:rFonts w:hint="eastAsia" w:ascii="新宋体" w:hAnsi="新宋体" w:eastAsia="新宋体" w:cs="新宋体"/>
                <w:bCs/>
                <w:color w:val="auto"/>
                <w:sz w:val="22"/>
                <w:szCs w:val="22"/>
                <w:highlight w:val="none"/>
                <w:lang w:val="en-US" w:eastAsia="zh-CN"/>
              </w:rPr>
              <w:t>进行综合</w:t>
            </w:r>
            <w:r>
              <w:rPr>
                <w:rFonts w:hint="eastAsia" w:ascii="新宋体" w:hAnsi="新宋体" w:eastAsia="新宋体" w:cs="新宋体"/>
                <w:bCs/>
                <w:color w:val="auto"/>
                <w:sz w:val="22"/>
                <w:szCs w:val="22"/>
                <w:highlight w:val="none"/>
              </w:rPr>
              <w:t>评审</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评分范围：6，4，2，0</w:t>
            </w:r>
            <w:r>
              <w:rPr>
                <w:rFonts w:hint="eastAsia" w:ascii="新宋体" w:hAnsi="新宋体" w:eastAsia="新宋体" w:cs="新宋体"/>
                <w:bCs/>
                <w:color w:val="auto"/>
                <w:sz w:val="22"/>
                <w:szCs w:val="22"/>
                <w:highlight w:val="none"/>
                <w:lang w:eastAsia="zh-CN"/>
              </w:rPr>
              <w:t>）</w:t>
            </w:r>
          </w:p>
        </w:tc>
        <w:tc>
          <w:tcPr>
            <w:tcW w:w="785" w:type="dxa"/>
            <w:shd w:val="clear" w:color="auto" w:fill="auto"/>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4</w:t>
            </w:r>
          </w:p>
        </w:tc>
        <w:tc>
          <w:tcPr>
            <w:tcW w:w="2103" w:type="dxa"/>
            <w:shd w:val="clear" w:color="auto" w:fill="auto"/>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bidi="ar-SA"/>
              </w:rPr>
              <w:t>应急预案</w:t>
            </w:r>
          </w:p>
        </w:tc>
        <w:tc>
          <w:tcPr>
            <w:tcW w:w="59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lang w:val="en-US" w:eastAsia="zh-CN" w:bidi="ar-SA"/>
              </w:rPr>
              <w:t>维修服务保障应急预案，方案对日常维修可能遇到的问题及其应对措施是否到位</w:t>
            </w:r>
            <w:r>
              <w:rPr>
                <w:rFonts w:hint="eastAsia" w:ascii="新宋体" w:hAnsi="新宋体" w:eastAsia="新宋体" w:cs="新宋体"/>
                <w:bCs/>
                <w:color w:val="auto"/>
                <w:sz w:val="22"/>
                <w:szCs w:val="22"/>
                <w:highlight w:val="none"/>
                <w:lang w:val="en-US" w:eastAsia="zh-CN"/>
              </w:rPr>
              <w:t>进行综合</w:t>
            </w:r>
            <w:r>
              <w:rPr>
                <w:rFonts w:hint="eastAsia" w:ascii="新宋体" w:hAnsi="新宋体" w:eastAsia="新宋体" w:cs="新宋体"/>
                <w:bCs/>
                <w:color w:val="auto"/>
                <w:sz w:val="22"/>
                <w:szCs w:val="22"/>
                <w:highlight w:val="none"/>
              </w:rPr>
              <w:t>评审</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评分范围：6，4，2，0</w:t>
            </w:r>
            <w:r>
              <w:rPr>
                <w:rFonts w:hint="eastAsia" w:ascii="新宋体" w:hAnsi="新宋体" w:eastAsia="新宋体" w:cs="新宋体"/>
                <w:bCs/>
                <w:color w:val="auto"/>
                <w:sz w:val="22"/>
                <w:szCs w:val="22"/>
                <w:highlight w:val="none"/>
                <w:lang w:eastAsia="zh-CN"/>
              </w:rPr>
              <w:t>）</w:t>
            </w:r>
          </w:p>
        </w:tc>
        <w:tc>
          <w:tcPr>
            <w:tcW w:w="785" w:type="dxa"/>
            <w:shd w:val="clear" w:color="auto" w:fill="auto"/>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lang w:val="en-US" w:eastAsia="zh-CN"/>
              </w:rPr>
              <w:t>5</w:t>
            </w:r>
          </w:p>
        </w:tc>
        <w:tc>
          <w:tcPr>
            <w:tcW w:w="21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配件</w:t>
            </w:r>
            <w:r>
              <w:rPr>
                <w:rFonts w:hint="eastAsia" w:ascii="新宋体" w:hAnsi="新宋体" w:eastAsia="新宋体" w:cs="新宋体"/>
                <w:color w:val="auto"/>
                <w:kern w:val="0"/>
                <w:sz w:val="22"/>
                <w:szCs w:val="22"/>
                <w:highlight w:val="none"/>
                <w:lang w:val="zh-CN" w:eastAsia="zh-CN" w:bidi="ar-SA"/>
              </w:rPr>
              <w:t>备件库情况</w:t>
            </w:r>
          </w:p>
        </w:tc>
        <w:tc>
          <w:tcPr>
            <w:tcW w:w="59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lang w:val="zh-CN" w:eastAsia="zh-CN" w:bidi="ar-SA"/>
              </w:rPr>
              <w:t>投标人提供在国内的备件库情况资料，提供房屋租赁合同或是房屋产权证明，提供备件库照片资料，提供国内备件清单。根据备件库场地布置、存储条件、存储备品备件安全、质量保证措施</w:t>
            </w:r>
            <w:r>
              <w:rPr>
                <w:rFonts w:hint="eastAsia" w:ascii="新宋体" w:hAnsi="新宋体" w:eastAsia="新宋体" w:cs="新宋体"/>
                <w:bCs/>
                <w:color w:val="auto"/>
                <w:sz w:val="22"/>
                <w:szCs w:val="22"/>
                <w:highlight w:val="none"/>
                <w:lang w:val="en-US" w:eastAsia="zh-CN"/>
              </w:rPr>
              <w:t>进行综合</w:t>
            </w:r>
            <w:r>
              <w:rPr>
                <w:rFonts w:hint="eastAsia" w:ascii="新宋体" w:hAnsi="新宋体" w:eastAsia="新宋体" w:cs="新宋体"/>
                <w:bCs/>
                <w:color w:val="auto"/>
                <w:sz w:val="22"/>
                <w:szCs w:val="22"/>
                <w:highlight w:val="none"/>
              </w:rPr>
              <w:t>评审</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评分范围：6，4，2，0</w:t>
            </w:r>
            <w:r>
              <w:rPr>
                <w:rFonts w:hint="eastAsia" w:ascii="新宋体" w:hAnsi="新宋体" w:eastAsia="新宋体" w:cs="新宋体"/>
                <w:bCs/>
                <w:color w:val="auto"/>
                <w:sz w:val="22"/>
                <w:szCs w:val="22"/>
                <w:highlight w:val="none"/>
                <w:lang w:eastAsia="zh-CN"/>
              </w:rPr>
              <w:t>）</w:t>
            </w:r>
          </w:p>
        </w:tc>
        <w:tc>
          <w:tcPr>
            <w:tcW w:w="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kern w:val="2"/>
                <w:sz w:val="22"/>
                <w:szCs w:val="22"/>
                <w:highlight w:val="none"/>
                <w:lang w:val="en-US" w:eastAsia="zh-CN" w:bidi="ar-SA"/>
              </w:rPr>
              <w:t>6</w:t>
            </w:r>
          </w:p>
        </w:tc>
        <w:tc>
          <w:tcPr>
            <w:tcW w:w="2103" w:type="dxa"/>
            <w:shd w:val="clear" w:color="auto" w:fill="auto"/>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color w:val="auto"/>
                <w:kern w:val="0"/>
                <w:sz w:val="22"/>
                <w:szCs w:val="22"/>
                <w:highlight w:val="none"/>
                <w:lang w:val="en-US" w:eastAsia="zh-CN"/>
              </w:rPr>
              <w:t>人员配置</w:t>
            </w:r>
          </w:p>
        </w:tc>
        <w:tc>
          <w:tcPr>
            <w:tcW w:w="59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lang w:val="en-US" w:eastAsia="zh-CN" w:bidi="ar-SA"/>
              </w:rPr>
              <w:t>投标人针地</w:t>
            </w:r>
            <w:r>
              <w:rPr>
                <w:rFonts w:hint="eastAsia" w:ascii="新宋体" w:hAnsi="新宋体" w:eastAsia="新宋体" w:cs="新宋体"/>
                <w:color w:val="auto"/>
                <w:kern w:val="0"/>
                <w:sz w:val="22"/>
                <w:szCs w:val="22"/>
                <w:highlight w:val="none"/>
                <w:lang w:val="zh-CN" w:eastAsia="zh-CN" w:bidi="ar-SA"/>
              </w:rPr>
              <w:t>本项目的临床应用水平及维修人员的数量、分工、学历、相关资质职称、过往工作经验、培训方案等</w:t>
            </w:r>
            <w:r>
              <w:rPr>
                <w:rFonts w:hint="eastAsia" w:ascii="新宋体" w:hAnsi="新宋体" w:eastAsia="新宋体" w:cs="新宋体"/>
                <w:bCs/>
                <w:color w:val="auto"/>
                <w:sz w:val="22"/>
                <w:szCs w:val="22"/>
                <w:highlight w:val="none"/>
                <w:lang w:val="en-US" w:eastAsia="zh-CN"/>
              </w:rPr>
              <w:t>进行综合</w:t>
            </w:r>
            <w:r>
              <w:rPr>
                <w:rFonts w:hint="eastAsia" w:ascii="新宋体" w:hAnsi="新宋体" w:eastAsia="新宋体" w:cs="新宋体"/>
                <w:bCs/>
                <w:color w:val="auto"/>
                <w:sz w:val="22"/>
                <w:szCs w:val="22"/>
                <w:highlight w:val="none"/>
              </w:rPr>
              <w:t>评审</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评分范围：6，4，2，0</w:t>
            </w:r>
            <w:r>
              <w:rPr>
                <w:rFonts w:hint="eastAsia" w:ascii="新宋体" w:hAnsi="新宋体" w:eastAsia="新宋体" w:cs="新宋体"/>
                <w:bCs/>
                <w:color w:val="auto"/>
                <w:sz w:val="22"/>
                <w:szCs w:val="22"/>
                <w:highlight w:val="none"/>
                <w:lang w:eastAsia="zh-CN"/>
              </w:rPr>
              <w:t>）</w:t>
            </w:r>
          </w:p>
        </w:tc>
        <w:tc>
          <w:tcPr>
            <w:tcW w:w="785" w:type="dxa"/>
            <w:shd w:val="clear" w:color="auto" w:fill="auto"/>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7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kern w:val="2"/>
                <w:sz w:val="22"/>
                <w:szCs w:val="22"/>
                <w:highlight w:val="none"/>
                <w:lang w:val="en-US" w:eastAsia="zh-CN" w:bidi="ar-SA"/>
              </w:rPr>
              <w:t>7</w:t>
            </w:r>
          </w:p>
        </w:tc>
        <w:tc>
          <w:tcPr>
            <w:tcW w:w="21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同类业绩</w:t>
            </w:r>
          </w:p>
        </w:tc>
        <w:tc>
          <w:tcPr>
            <w:tcW w:w="59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shd w:val="clear" w:color="auto" w:fill="auto"/>
              </w:rPr>
              <w:t>2022年1月1日至今（以合同签订时间为准），</w:t>
            </w:r>
            <w:r>
              <w:rPr>
                <w:rFonts w:hint="eastAsia" w:ascii="新宋体" w:hAnsi="新宋体" w:eastAsia="新宋体" w:cs="新宋体"/>
                <w:color w:val="auto"/>
                <w:sz w:val="22"/>
                <w:szCs w:val="22"/>
                <w:highlight w:val="none"/>
                <w:shd w:val="clear" w:color="auto" w:fill="auto"/>
                <w:lang w:val="en-US" w:eastAsia="zh-CN"/>
              </w:rPr>
              <w:t>投标人</w:t>
            </w:r>
            <w:r>
              <w:rPr>
                <w:rFonts w:hint="eastAsia" w:ascii="新宋体" w:hAnsi="新宋体" w:eastAsia="新宋体" w:cs="新宋体"/>
                <w:color w:val="auto"/>
                <w:sz w:val="22"/>
                <w:szCs w:val="22"/>
                <w:highlight w:val="none"/>
                <w:shd w:val="clear" w:color="auto" w:fill="auto"/>
              </w:rPr>
              <w:t>承接过同品牌</w:t>
            </w:r>
            <w:r>
              <w:rPr>
                <w:rFonts w:hint="eastAsia" w:ascii="新宋体" w:hAnsi="新宋体" w:eastAsia="新宋体" w:cs="新宋体"/>
                <w:color w:val="auto"/>
                <w:sz w:val="22"/>
                <w:szCs w:val="22"/>
                <w:highlight w:val="none"/>
                <w:shd w:val="clear" w:color="auto" w:fill="auto"/>
                <w:lang w:val="en-US" w:eastAsia="zh-CN"/>
              </w:rPr>
              <w:t>同类型设备</w:t>
            </w:r>
            <w:r>
              <w:rPr>
                <w:rFonts w:hint="eastAsia" w:ascii="新宋体" w:hAnsi="新宋体" w:eastAsia="新宋体" w:cs="新宋体"/>
                <w:color w:val="auto"/>
                <w:sz w:val="22"/>
                <w:szCs w:val="22"/>
                <w:highlight w:val="none"/>
                <w:shd w:val="clear" w:color="auto" w:fill="auto"/>
              </w:rPr>
              <w:t>的维保服务业绩的</w:t>
            </w:r>
            <w:r>
              <w:rPr>
                <w:rFonts w:hint="eastAsia" w:ascii="新宋体" w:hAnsi="新宋体" w:eastAsia="新宋体" w:cs="新宋体"/>
                <w:color w:val="auto"/>
                <w:sz w:val="22"/>
                <w:szCs w:val="22"/>
                <w:highlight w:val="none"/>
                <w:shd w:val="clear" w:color="auto" w:fill="auto"/>
                <w:lang w:eastAsia="zh-CN"/>
              </w:rPr>
              <w:t>（</w:t>
            </w:r>
            <w:r>
              <w:rPr>
                <w:rFonts w:hint="eastAsia" w:ascii="新宋体" w:hAnsi="新宋体" w:eastAsia="新宋体" w:cs="新宋体"/>
                <w:color w:val="auto"/>
                <w:sz w:val="22"/>
                <w:szCs w:val="22"/>
                <w:highlight w:val="none"/>
                <w:shd w:val="clear" w:color="auto" w:fill="auto"/>
                <w:lang w:val="zh-TW" w:eastAsia="zh-CN"/>
              </w:rPr>
              <w:t>仅为年维保项目，不含单次维修、移机服务、人工合同等</w:t>
            </w:r>
            <w:r>
              <w:rPr>
                <w:rFonts w:hint="eastAsia" w:ascii="新宋体" w:hAnsi="新宋体" w:eastAsia="新宋体" w:cs="新宋体"/>
                <w:color w:val="auto"/>
                <w:sz w:val="22"/>
                <w:szCs w:val="22"/>
                <w:highlight w:val="none"/>
                <w:shd w:val="clear" w:color="auto" w:fill="auto"/>
                <w:lang w:eastAsia="zh-CN"/>
              </w:rPr>
              <w:t>）</w:t>
            </w:r>
            <w:r>
              <w:rPr>
                <w:rFonts w:hint="eastAsia" w:ascii="新宋体" w:hAnsi="新宋体" w:eastAsia="新宋体" w:cs="新宋体"/>
                <w:color w:val="auto"/>
                <w:sz w:val="22"/>
                <w:szCs w:val="22"/>
                <w:highlight w:val="none"/>
                <w:shd w:val="clear" w:color="auto" w:fill="auto"/>
              </w:rPr>
              <w:t>，每个得</w:t>
            </w:r>
            <w:r>
              <w:rPr>
                <w:rFonts w:hint="eastAsia" w:ascii="新宋体" w:hAnsi="新宋体" w:eastAsia="新宋体" w:cs="新宋体"/>
                <w:color w:val="auto"/>
                <w:sz w:val="22"/>
                <w:szCs w:val="22"/>
                <w:highlight w:val="none"/>
                <w:shd w:val="clear" w:color="auto" w:fill="auto"/>
                <w:lang w:val="en-US" w:eastAsia="zh-CN"/>
              </w:rPr>
              <w:t>1</w:t>
            </w:r>
            <w:r>
              <w:rPr>
                <w:rFonts w:hint="eastAsia" w:ascii="新宋体" w:hAnsi="新宋体" w:eastAsia="新宋体" w:cs="新宋体"/>
                <w:color w:val="auto"/>
                <w:sz w:val="22"/>
                <w:szCs w:val="22"/>
                <w:highlight w:val="none"/>
                <w:shd w:val="clear" w:color="auto" w:fill="auto"/>
              </w:rPr>
              <w:t>分，最高得</w:t>
            </w:r>
            <w:r>
              <w:rPr>
                <w:rFonts w:hint="eastAsia" w:ascii="新宋体" w:hAnsi="新宋体" w:eastAsia="新宋体" w:cs="新宋体"/>
                <w:color w:val="auto"/>
                <w:sz w:val="22"/>
                <w:szCs w:val="22"/>
                <w:highlight w:val="none"/>
                <w:shd w:val="clear" w:color="auto" w:fill="auto"/>
                <w:lang w:val="en-US" w:eastAsia="zh-CN"/>
              </w:rPr>
              <w:t>3</w:t>
            </w:r>
            <w:r>
              <w:rPr>
                <w:rFonts w:hint="eastAsia" w:ascii="新宋体" w:hAnsi="新宋体" w:eastAsia="新宋体" w:cs="新宋体"/>
                <w:color w:val="auto"/>
                <w:sz w:val="22"/>
                <w:szCs w:val="22"/>
                <w:highlight w:val="none"/>
                <w:shd w:val="clear" w:color="auto" w:fill="auto"/>
              </w:rPr>
              <w:t>分；同一业主不累计得分</w:t>
            </w:r>
            <w:r>
              <w:rPr>
                <w:rFonts w:hint="eastAsia" w:ascii="新宋体" w:hAnsi="新宋体" w:eastAsia="新宋体" w:cs="新宋体"/>
                <w:color w:val="auto"/>
                <w:sz w:val="22"/>
                <w:szCs w:val="22"/>
                <w:highlight w:val="none"/>
                <w:shd w:val="clear" w:color="auto" w:fill="auto"/>
                <w:lang w:eastAsia="zh-CN"/>
              </w:rPr>
              <w:t>。</w:t>
            </w:r>
            <w:r>
              <w:rPr>
                <w:rFonts w:hint="eastAsia" w:ascii="新宋体" w:hAnsi="新宋体" w:eastAsia="新宋体" w:cs="新宋体"/>
                <w:color w:val="auto"/>
                <w:sz w:val="22"/>
                <w:szCs w:val="22"/>
                <w:highlight w:val="none"/>
                <w:shd w:val="clear" w:color="auto" w:fill="auto"/>
              </w:rPr>
              <w:t>投标人必须提供项目合同复印件</w:t>
            </w:r>
            <w:r>
              <w:rPr>
                <w:rFonts w:hint="eastAsia" w:ascii="新宋体" w:hAnsi="新宋体" w:eastAsia="新宋体" w:cs="新宋体"/>
                <w:color w:val="auto"/>
                <w:sz w:val="22"/>
                <w:szCs w:val="22"/>
                <w:highlight w:val="none"/>
                <w:shd w:val="clear" w:color="auto" w:fill="auto"/>
                <w:lang w:eastAsia="zh-CN"/>
              </w:rPr>
              <w:t>，</w:t>
            </w:r>
            <w:r>
              <w:rPr>
                <w:rFonts w:hint="eastAsia" w:ascii="新宋体" w:hAnsi="新宋体" w:eastAsia="新宋体" w:cs="新宋体"/>
                <w:color w:val="auto"/>
                <w:sz w:val="22"/>
                <w:szCs w:val="22"/>
                <w:highlight w:val="none"/>
              </w:rPr>
              <w:t>合同内容应清楚可见维修保养的</w:t>
            </w:r>
            <w:r>
              <w:rPr>
                <w:rFonts w:hint="eastAsia" w:ascii="新宋体" w:hAnsi="新宋体" w:eastAsia="新宋体" w:cs="新宋体"/>
                <w:color w:val="auto"/>
                <w:sz w:val="22"/>
                <w:szCs w:val="22"/>
                <w:highlight w:val="none"/>
                <w:lang w:val="en-US" w:eastAsia="zh-CN"/>
              </w:rPr>
              <w:t>品牌型号</w:t>
            </w:r>
            <w:r>
              <w:rPr>
                <w:rFonts w:hint="eastAsia" w:ascii="新宋体" w:hAnsi="新宋体" w:eastAsia="新宋体" w:cs="新宋体"/>
                <w:color w:val="auto"/>
                <w:sz w:val="22"/>
                <w:szCs w:val="22"/>
                <w:highlight w:val="none"/>
              </w:rPr>
              <w:t>、维修保养的范围内容。</w:t>
            </w:r>
          </w:p>
        </w:tc>
        <w:tc>
          <w:tcPr>
            <w:tcW w:w="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7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8</w:t>
            </w:r>
          </w:p>
        </w:tc>
        <w:tc>
          <w:tcPr>
            <w:tcW w:w="21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eastAsia="宋体"/>
                <w:lang w:eastAsia="zh-CN"/>
              </w:rPr>
              <w:t>售后服务</w:t>
            </w:r>
          </w:p>
        </w:tc>
        <w:tc>
          <w:tcPr>
            <w:tcW w:w="59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shd w:val="clear" w:color="auto" w:fill="auto"/>
              </w:rPr>
            </w:pPr>
            <w:r>
              <w:rPr>
                <w:rFonts w:hint="eastAsia" w:ascii="宋体" w:hAnsi="宋体" w:eastAsia="宋体" w:cs="宋体"/>
                <w:b w:val="0"/>
                <w:bCs w:val="0"/>
                <w:kern w:val="2"/>
                <w:sz w:val="22"/>
                <w:szCs w:val="20"/>
                <w:lang w:val="en-US" w:eastAsia="zh-CN" w:bidi="ar-SA"/>
              </w:rPr>
              <w:t>投标人在</w:t>
            </w:r>
            <w:r>
              <w:rPr>
                <w:rFonts w:hint="eastAsia" w:ascii="宋体" w:hAnsi="宋体" w:cs="宋体"/>
                <w:b w:val="0"/>
                <w:bCs w:val="0"/>
                <w:kern w:val="2"/>
                <w:sz w:val="22"/>
                <w:szCs w:val="20"/>
                <w:lang w:val="en-US" w:eastAsia="zh-CN" w:bidi="ar-SA"/>
              </w:rPr>
              <w:t>长三角</w:t>
            </w:r>
            <w:r>
              <w:rPr>
                <w:rFonts w:hint="eastAsia" w:ascii="宋体" w:hAnsi="宋体" w:eastAsia="宋体" w:cs="宋体"/>
                <w:b w:val="0"/>
                <w:bCs w:val="0"/>
                <w:kern w:val="2"/>
                <w:sz w:val="22"/>
                <w:szCs w:val="20"/>
                <w:lang w:val="en-US" w:eastAsia="zh-CN" w:bidi="ar-SA"/>
              </w:rPr>
              <w:t>地区范围内工商注册售后服务机构（网点）得6分；在</w:t>
            </w:r>
            <w:r>
              <w:rPr>
                <w:rFonts w:hint="eastAsia" w:ascii="宋体" w:hAnsi="宋体" w:cs="宋体"/>
                <w:b w:val="0"/>
                <w:bCs w:val="0"/>
                <w:kern w:val="2"/>
                <w:sz w:val="22"/>
                <w:szCs w:val="20"/>
                <w:lang w:val="en-US" w:eastAsia="zh-CN" w:bidi="ar-SA"/>
              </w:rPr>
              <w:t>长三角</w:t>
            </w:r>
            <w:r>
              <w:rPr>
                <w:rFonts w:hint="eastAsia" w:ascii="宋体" w:hAnsi="宋体" w:eastAsia="宋体" w:cs="宋体"/>
                <w:b w:val="0"/>
                <w:bCs w:val="0"/>
                <w:kern w:val="2"/>
                <w:sz w:val="22"/>
                <w:szCs w:val="20"/>
                <w:lang w:val="en-US" w:eastAsia="zh-CN" w:bidi="ar-SA"/>
              </w:rPr>
              <w:t>地区范围</w:t>
            </w:r>
            <w:r>
              <w:rPr>
                <w:rFonts w:hint="eastAsia" w:ascii="宋体" w:hAnsi="宋体" w:cs="宋体"/>
                <w:b w:val="0"/>
                <w:bCs w:val="0"/>
                <w:kern w:val="2"/>
                <w:sz w:val="22"/>
                <w:szCs w:val="20"/>
                <w:lang w:val="en-US" w:eastAsia="zh-CN" w:bidi="ar-SA"/>
              </w:rPr>
              <w:t>外</w:t>
            </w:r>
            <w:r>
              <w:rPr>
                <w:rFonts w:hint="eastAsia" w:ascii="宋体" w:hAnsi="宋体" w:eastAsia="宋体" w:cs="宋体"/>
                <w:b w:val="0"/>
                <w:bCs w:val="0"/>
                <w:kern w:val="2"/>
                <w:sz w:val="22"/>
                <w:szCs w:val="20"/>
                <w:lang w:val="en-US" w:eastAsia="zh-CN" w:bidi="ar-SA"/>
              </w:rPr>
              <w:t>工商注册售后服务机构的得</w:t>
            </w:r>
            <w:r>
              <w:rPr>
                <w:rFonts w:hint="eastAsia" w:ascii="宋体" w:hAnsi="宋体" w:cs="宋体"/>
                <w:b w:val="0"/>
                <w:bCs w:val="0"/>
                <w:kern w:val="2"/>
                <w:sz w:val="22"/>
                <w:szCs w:val="20"/>
                <w:lang w:val="en-US" w:eastAsia="zh-CN" w:bidi="ar-SA"/>
              </w:rPr>
              <w:t>3</w:t>
            </w:r>
            <w:r>
              <w:rPr>
                <w:rFonts w:hint="eastAsia" w:ascii="宋体" w:hAnsi="宋体" w:eastAsia="宋体" w:cs="宋体"/>
                <w:b w:val="0"/>
                <w:bCs w:val="0"/>
                <w:kern w:val="2"/>
                <w:sz w:val="22"/>
                <w:szCs w:val="20"/>
                <w:lang w:val="en-US" w:eastAsia="zh-CN" w:bidi="ar-SA"/>
              </w:rPr>
              <w:t>分。（提供公司注册证明文件的复印件并加盖公章）</w:t>
            </w:r>
          </w:p>
        </w:tc>
        <w:tc>
          <w:tcPr>
            <w:tcW w:w="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6分</w:t>
            </w:r>
          </w:p>
        </w:tc>
      </w:tr>
    </w:tbl>
    <w:p>
      <w:pPr>
        <w:rPr>
          <w:rFonts w:hint="eastAsia"/>
        </w:rPr>
      </w:pPr>
    </w:p>
    <w:p>
      <w:pPr>
        <w:rPr>
          <w:rFonts w:hint="eastAsia"/>
        </w:rPr>
      </w:pPr>
    </w:p>
    <w:p>
      <w:pPr>
        <w:numPr>
          <w:ilvl w:val="0"/>
          <w:numId w:val="3"/>
        </w:numPr>
        <w:rPr>
          <w:rFonts w:hint="eastAsia" w:ascii="宋体" w:hAnsi="宋体" w:eastAsia="宋体" w:cs="宋体"/>
          <w:b/>
          <w:bCs/>
          <w:sz w:val="24"/>
          <w:szCs w:val="24"/>
        </w:rPr>
      </w:pPr>
      <w:r>
        <w:rPr>
          <w:rFonts w:hint="eastAsia" w:ascii="宋体" w:hAnsi="宋体" w:cs="宋体"/>
          <w:b/>
          <w:bCs/>
          <w:sz w:val="24"/>
          <w:szCs w:val="24"/>
          <w:lang w:val="en-US" w:eastAsia="zh-CN"/>
        </w:rPr>
        <w:t>商务（</w:t>
      </w:r>
      <w:r>
        <w:rPr>
          <w:rFonts w:hint="eastAsia" w:ascii="宋体" w:hAnsi="宋体" w:eastAsia="宋体" w:cs="宋体"/>
          <w:b/>
          <w:bCs/>
          <w:sz w:val="24"/>
          <w:szCs w:val="24"/>
          <w:lang w:val="en-US" w:eastAsia="zh-CN"/>
        </w:rPr>
        <w:t>价格</w:t>
      </w:r>
      <w:r>
        <w:rPr>
          <w:rFonts w:hint="eastAsia" w:ascii="宋体" w:hAnsi="宋体" w:cs="宋体"/>
          <w:b/>
          <w:bCs/>
          <w:sz w:val="24"/>
          <w:szCs w:val="24"/>
          <w:lang w:val="en-US" w:eastAsia="zh-CN"/>
        </w:rPr>
        <w:t>）</w:t>
      </w:r>
      <w:r>
        <w:rPr>
          <w:rFonts w:hint="eastAsia" w:ascii="宋体" w:hAnsi="宋体" w:eastAsia="宋体" w:cs="宋体"/>
          <w:b/>
          <w:bCs/>
          <w:sz w:val="24"/>
          <w:szCs w:val="24"/>
        </w:rPr>
        <w:t>评分：</w:t>
      </w:r>
      <w:r>
        <w:rPr>
          <w:rFonts w:hint="eastAsia" w:ascii="宋体" w:hAnsi="宋体" w:eastAsia="宋体" w:cs="宋体"/>
          <w:b/>
          <w:bCs/>
          <w:sz w:val="24"/>
          <w:szCs w:val="24"/>
          <w:lang w:val="en-US" w:eastAsia="zh-CN"/>
        </w:rPr>
        <w:t>满分</w:t>
      </w:r>
      <w:r>
        <w:rPr>
          <w:rFonts w:hint="eastAsia" w:ascii="宋体" w:hAnsi="宋体" w:cs="宋体"/>
          <w:b/>
          <w:bCs/>
          <w:sz w:val="24"/>
          <w:szCs w:val="24"/>
          <w:lang w:val="en-US" w:eastAsia="zh-CN"/>
        </w:rPr>
        <w:t>20分</w:t>
      </w:r>
    </w:p>
    <w:p>
      <w:pPr>
        <w:tabs>
          <w:tab w:val="left" w:pos="774"/>
        </w:tabs>
        <w:autoSpaceDE w:val="0"/>
        <w:autoSpaceDN w:val="0"/>
        <w:spacing w:before="240" w:line="276" w:lineRule="auto"/>
        <w:ind w:left="774" w:hanging="576"/>
        <w:jc w:val="center"/>
        <w:outlineLvl w:val="2"/>
        <w:rPr>
          <w:rFonts w:hint="eastAsia" w:ascii="宋体" w:hAnsi="宋体" w:eastAsia="宋体" w:cs="宋体"/>
          <w:b/>
          <w:color w:val="auto"/>
          <w:sz w:val="28"/>
          <w:szCs w:val="28"/>
          <w:highlight w:val="none"/>
          <w:lang w:val="zh-CN"/>
        </w:rPr>
      </w:pPr>
      <w:bookmarkStart w:id="1" w:name="_Toc11964"/>
      <w:bookmarkStart w:id="2" w:name="_Toc8618"/>
      <w:r>
        <w:rPr>
          <w:rFonts w:hint="eastAsia" w:ascii="宋体" w:hAnsi="宋体" w:eastAsia="宋体" w:cs="宋体"/>
          <w:b/>
          <w:color w:val="auto"/>
          <w:sz w:val="28"/>
          <w:szCs w:val="28"/>
          <w:highlight w:val="none"/>
          <w:lang w:val="zh-CN"/>
        </w:rPr>
        <w:t>报价一览表</w:t>
      </w:r>
      <w:bookmarkEnd w:id="1"/>
      <w:bookmarkEnd w:id="2"/>
    </w:p>
    <w:p>
      <w:pPr>
        <w:spacing w:line="360" w:lineRule="auto"/>
        <w:rPr>
          <w:rFonts w:hint="eastAsia" w:ascii="宋体" w:hAnsi="宋体" w:eastAsia="宋体" w:cs="宋体"/>
          <w:b w:val="0"/>
          <w:bCs w:val="0"/>
          <w:color w:val="auto"/>
          <w:sz w:val="22"/>
          <w:szCs w:val="18"/>
          <w:highlight w:val="none"/>
        </w:rPr>
      </w:pPr>
      <w:bookmarkStart w:id="3" w:name="OLE_LINK2"/>
      <w:r>
        <w:rPr>
          <w:rFonts w:hint="eastAsia" w:ascii="宋体" w:hAnsi="宋体" w:eastAsia="宋体" w:cs="宋体"/>
          <w:b w:val="0"/>
          <w:bCs w:val="0"/>
          <w:color w:val="auto"/>
          <w:sz w:val="24"/>
          <w:szCs w:val="24"/>
          <w:highlight w:val="none"/>
        </w:rPr>
        <w:t>项目名称：</w:t>
      </w:r>
      <w:bookmarkEnd w:id="3"/>
      <w:r>
        <w:rPr>
          <w:rFonts w:hint="eastAsia" w:ascii="新宋体" w:hAnsi="新宋体" w:eastAsia="新宋体"/>
          <w:color w:val="auto"/>
          <w:sz w:val="24"/>
          <w:szCs w:val="24"/>
          <w:highlight w:val="none"/>
          <w:u w:val="none"/>
          <w:lang w:eastAsia="zh-CN"/>
        </w:rPr>
        <w:t>温州市中医院检验科智能实验室标本自动传送系统维保项目</w:t>
      </w:r>
      <w:r>
        <w:rPr>
          <w:rFonts w:hint="eastAsia" w:ascii="宋体" w:hAnsi="宋体" w:eastAsia="宋体" w:cs="宋体"/>
          <w:b w:val="0"/>
          <w:bCs w:val="0"/>
          <w:color w:val="auto"/>
          <w:sz w:val="24"/>
          <w:szCs w:val="24"/>
          <w:highlight w:val="none"/>
          <w:u w:val="none"/>
        </w:rPr>
        <w:t xml:space="preserve">    </w:t>
      </w:r>
      <w:r>
        <w:rPr>
          <w:rFonts w:hint="eastAsia" w:ascii="宋体" w:hAnsi="宋体" w:eastAsia="宋体" w:cs="宋体"/>
          <w:b w:val="0"/>
          <w:bCs w:val="0"/>
          <w:color w:val="auto"/>
          <w:sz w:val="22"/>
          <w:szCs w:val="18"/>
          <w:highlight w:val="none"/>
        </w:rPr>
        <w:t xml:space="preserve">                         </w:t>
      </w:r>
    </w:p>
    <w:tbl>
      <w:tblPr>
        <w:tblStyle w:val="13"/>
        <w:tblW w:w="10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098"/>
        <w:gridCol w:w="1866"/>
        <w:gridCol w:w="2982"/>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50" w:type="dxa"/>
            <w:noWrap w:val="0"/>
            <w:vAlign w:val="center"/>
          </w:tcPr>
          <w:p>
            <w:pPr>
              <w:spacing w:line="380" w:lineRule="exact"/>
              <w:jc w:val="center"/>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序号</w:t>
            </w:r>
          </w:p>
        </w:tc>
        <w:tc>
          <w:tcPr>
            <w:tcW w:w="3098" w:type="dxa"/>
            <w:noWrap w:val="0"/>
            <w:vAlign w:val="center"/>
          </w:tcPr>
          <w:p>
            <w:pPr>
              <w:spacing w:line="380" w:lineRule="exact"/>
              <w:jc w:val="center"/>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bCs/>
                <w:color w:val="auto"/>
                <w:sz w:val="24"/>
                <w:szCs w:val="24"/>
                <w:highlight w:val="none"/>
                <w:u w:val="none"/>
              </w:rPr>
              <w:t>项目名称</w:t>
            </w:r>
          </w:p>
        </w:tc>
        <w:tc>
          <w:tcPr>
            <w:tcW w:w="1866" w:type="dxa"/>
            <w:noWrap w:val="0"/>
            <w:vAlign w:val="center"/>
          </w:tcPr>
          <w:p>
            <w:pPr>
              <w:spacing w:line="380" w:lineRule="exact"/>
              <w:jc w:val="center"/>
              <w:rPr>
                <w:rFonts w:hint="eastAsia" w:asciiTheme="minorEastAsia" w:hAnsiTheme="minorEastAsia" w:eastAsiaTheme="minorEastAsia" w:cstheme="minorEastAsia"/>
                <w:bCs/>
                <w:color w:val="auto"/>
                <w:sz w:val="24"/>
                <w:szCs w:val="24"/>
                <w:highlight w:val="none"/>
                <w:u w:val="none"/>
                <w:lang w:val="en-US" w:eastAsia="zh-CN"/>
              </w:rPr>
            </w:pPr>
            <w:r>
              <w:rPr>
                <w:rFonts w:hint="eastAsia" w:asciiTheme="minorEastAsia" w:hAnsiTheme="minorEastAsia" w:eastAsiaTheme="minorEastAsia" w:cstheme="minorEastAsia"/>
                <w:bCs/>
                <w:color w:val="auto"/>
                <w:sz w:val="24"/>
                <w:szCs w:val="24"/>
                <w:highlight w:val="none"/>
                <w:u w:val="none"/>
                <w:lang w:val="en-US" w:eastAsia="zh-CN"/>
              </w:rPr>
              <w:t>服务期</w:t>
            </w:r>
          </w:p>
        </w:tc>
        <w:tc>
          <w:tcPr>
            <w:tcW w:w="2982" w:type="dxa"/>
            <w:noWrap w:val="0"/>
            <w:vAlign w:val="center"/>
          </w:tcPr>
          <w:p>
            <w:pPr>
              <w:spacing w:line="380" w:lineRule="exact"/>
              <w:jc w:val="center"/>
              <w:rPr>
                <w:rFonts w:hint="eastAsia" w:asciiTheme="minorEastAsia" w:hAnsiTheme="minorEastAsia" w:eastAsiaTheme="minorEastAsia" w:cstheme="minorEastAsia"/>
                <w:color w:val="auto"/>
                <w:sz w:val="24"/>
                <w:szCs w:val="24"/>
                <w:highlight w:val="none"/>
                <w:u w:val="none"/>
                <w:lang w:eastAsia="zh-CN"/>
              </w:rPr>
            </w:pPr>
            <w:r>
              <w:rPr>
                <w:rFonts w:hint="eastAsia" w:asciiTheme="minorEastAsia" w:hAnsiTheme="minorEastAsia" w:eastAsiaTheme="minorEastAsia" w:cstheme="minorEastAsia"/>
                <w:bCs/>
                <w:color w:val="auto"/>
                <w:sz w:val="24"/>
                <w:szCs w:val="24"/>
                <w:highlight w:val="none"/>
                <w:u w:val="none"/>
              </w:rPr>
              <w:t>报价</w:t>
            </w:r>
            <w:r>
              <w:rPr>
                <w:rFonts w:hint="eastAsia" w:asciiTheme="minorEastAsia" w:hAnsiTheme="minorEastAsia" w:eastAsiaTheme="minorEastAsia" w:cstheme="minorEastAsia"/>
                <w:bCs/>
                <w:color w:val="auto"/>
                <w:sz w:val="24"/>
                <w:szCs w:val="24"/>
                <w:highlight w:val="none"/>
                <w:u w:val="none"/>
                <w:lang w:eastAsia="zh-CN"/>
              </w:rPr>
              <w:t>（</w:t>
            </w:r>
            <w:r>
              <w:rPr>
                <w:rFonts w:hint="eastAsia" w:asciiTheme="minorEastAsia" w:hAnsiTheme="minorEastAsia" w:eastAsiaTheme="minorEastAsia" w:cstheme="minorEastAsia"/>
                <w:bCs/>
                <w:color w:val="auto"/>
                <w:sz w:val="24"/>
                <w:szCs w:val="24"/>
                <w:highlight w:val="none"/>
                <w:u w:val="none"/>
                <w:lang w:val="en-US" w:eastAsia="zh-CN"/>
              </w:rPr>
              <w:t>人民币元</w:t>
            </w:r>
            <w:r>
              <w:rPr>
                <w:rFonts w:hint="eastAsia" w:asciiTheme="minorEastAsia" w:hAnsiTheme="minorEastAsia" w:eastAsiaTheme="minorEastAsia" w:cstheme="minorEastAsia"/>
                <w:bCs/>
                <w:color w:val="auto"/>
                <w:sz w:val="24"/>
                <w:szCs w:val="24"/>
                <w:highlight w:val="none"/>
                <w:u w:val="none"/>
                <w:lang w:eastAsia="zh-CN"/>
              </w:rPr>
              <w:t>）</w:t>
            </w:r>
          </w:p>
        </w:tc>
        <w:tc>
          <w:tcPr>
            <w:tcW w:w="1600" w:type="dxa"/>
            <w:noWrap w:val="0"/>
            <w:vAlign w:val="center"/>
          </w:tcPr>
          <w:p>
            <w:pPr>
              <w:spacing w:line="380" w:lineRule="exact"/>
              <w:jc w:val="center"/>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950" w:type="dxa"/>
            <w:vMerge w:val="restart"/>
            <w:noWrap w:val="0"/>
            <w:vAlign w:val="center"/>
          </w:tcPr>
          <w:p>
            <w:pPr>
              <w:spacing w:line="380" w:lineRule="exact"/>
              <w:jc w:val="center"/>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1</w:t>
            </w:r>
          </w:p>
        </w:tc>
        <w:tc>
          <w:tcPr>
            <w:tcW w:w="3098" w:type="dxa"/>
            <w:vMerge w:val="restart"/>
            <w:noWrap w:val="0"/>
            <w:vAlign w:val="center"/>
          </w:tcPr>
          <w:p>
            <w:pPr>
              <w:spacing w:line="380" w:lineRule="exact"/>
              <w:jc w:val="center"/>
              <w:rPr>
                <w:rFonts w:hint="eastAsia" w:asciiTheme="minorEastAsia" w:hAnsiTheme="minorEastAsia" w:eastAsiaTheme="minorEastAsia" w:cstheme="minorEastAsia"/>
                <w:color w:val="auto"/>
                <w:sz w:val="24"/>
                <w:szCs w:val="24"/>
                <w:highlight w:val="none"/>
                <w:u w:val="none"/>
              </w:rPr>
            </w:pPr>
            <w:r>
              <w:rPr>
                <w:rFonts w:hint="eastAsia" w:ascii="新宋体" w:hAnsi="新宋体" w:eastAsia="新宋体"/>
                <w:color w:val="auto"/>
                <w:sz w:val="24"/>
                <w:szCs w:val="24"/>
                <w:highlight w:val="none"/>
                <w:u w:val="none"/>
                <w:lang w:eastAsia="zh-CN"/>
              </w:rPr>
              <w:t>温州市中医院检验科智能实验室标本自动传送系统维保项目</w:t>
            </w:r>
          </w:p>
        </w:tc>
        <w:tc>
          <w:tcPr>
            <w:tcW w:w="1866" w:type="dxa"/>
            <w:vMerge w:val="restart"/>
            <w:noWrap w:val="0"/>
            <w:vAlign w:val="center"/>
          </w:tcPr>
          <w:p>
            <w:pPr>
              <w:spacing w:line="380" w:lineRule="exact"/>
              <w:jc w:val="center"/>
              <w:rPr>
                <w:rFonts w:hint="default"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合同签订之日起一年。</w:t>
            </w:r>
          </w:p>
          <w:p>
            <w:pPr>
              <w:spacing w:line="380" w:lineRule="exact"/>
              <w:jc w:val="center"/>
              <w:rPr>
                <w:rFonts w:hint="eastAsia" w:asciiTheme="minorEastAsia" w:hAnsiTheme="minorEastAsia" w:eastAsiaTheme="minorEastAsia" w:cstheme="minorEastAsia"/>
                <w:color w:val="auto"/>
                <w:sz w:val="24"/>
                <w:szCs w:val="24"/>
                <w:highlight w:val="none"/>
                <w:u w:val="none"/>
                <w:lang w:eastAsia="zh-CN"/>
              </w:rPr>
            </w:pPr>
          </w:p>
        </w:tc>
        <w:tc>
          <w:tcPr>
            <w:tcW w:w="2982" w:type="dxa"/>
            <w:noWrap w:val="0"/>
            <w:vAlign w:val="center"/>
          </w:tcPr>
          <w:p>
            <w:pPr>
              <w:spacing w:line="380" w:lineRule="exact"/>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大写：</w:t>
            </w:r>
          </w:p>
        </w:tc>
        <w:tc>
          <w:tcPr>
            <w:tcW w:w="1600" w:type="dxa"/>
            <w:vMerge w:val="restart"/>
            <w:noWrap w:val="0"/>
            <w:vAlign w:val="center"/>
          </w:tcPr>
          <w:p>
            <w:pPr>
              <w:spacing w:line="380" w:lineRule="exact"/>
              <w:jc w:val="center"/>
              <w:rPr>
                <w:rFonts w:hint="eastAsia" w:asciiTheme="minorEastAsia" w:hAnsiTheme="minorEastAsia" w:eastAsiaTheme="minorEastAsia" w:cstheme="minorEastAsia"/>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950" w:type="dxa"/>
            <w:vMerge w:val="continue"/>
            <w:noWrap w:val="0"/>
            <w:vAlign w:val="center"/>
          </w:tcPr>
          <w:p>
            <w:pPr>
              <w:spacing w:line="380" w:lineRule="exact"/>
              <w:jc w:val="center"/>
              <w:rPr>
                <w:rFonts w:hint="eastAsia" w:ascii="宋体" w:hAnsi="宋体" w:eastAsia="宋体" w:cs="宋体"/>
                <w:color w:val="auto"/>
                <w:sz w:val="22"/>
                <w:highlight w:val="none"/>
              </w:rPr>
            </w:pPr>
          </w:p>
        </w:tc>
        <w:tc>
          <w:tcPr>
            <w:tcW w:w="3098" w:type="dxa"/>
            <w:vMerge w:val="continue"/>
            <w:noWrap w:val="0"/>
            <w:vAlign w:val="center"/>
          </w:tcPr>
          <w:p>
            <w:pPr>
              <w:spacing w:line="380" w:lineRule="exact"/>
              <w:jc w:val="center"/>
              <w:rPr>
                <w:rFonts w:hint="eastAsia" w:ascii="宋体" w:hAnsi="宋体" w:eastAsia="宋体" w:cs="宋体"/>
                <w:color w:val="auto"/>
                <w:sz w:val="22"/>
                <w:highlight w:val="none"/>
              </w:rPr>
            </w:pPr>
          </w:p>
        </w:tc>
        <w:tc>
          <w:tcPr>
            <w:tcW w:w="1866" w:type="dxa"/>
            <w:vMerge w:val="continue"/>
            <w:noWrap w:val="0"/>
            <w:vAlign w:val="center"/>
          </w:tcPr>
          <w:p>
            <w:pPr>
              <w:spacing w:line="380" w:lineRule="exact"/>
              <w:jc w:val="center"/>
              <w:rPr>
                <w:rFonts w:hint="eastAsia" w:ascii="宋体" w:hAnsi="宋体" w:eastAsia="宋体" w:cs="宋体"/>
                <w:color w:val="auto"/>
                <w:sz w:val="22"/>
                <w:highlight w:val="none"/>
              </w:rPr>
            </w:pPr>
          </w:p>
        </w:tc>
        <w:tc>
          <w:tcPr>
            <w:tcW w:w="2982" w:type="dxa"/>
            <w:noWrap w:val="0"/>
            <w:vAlign w:val="center"/>
          </w:tcPr>
          <w:p>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小写：</w:t>
            </w:r>
          </w:p>
        </w:tc>
        <w:tc>
          <w:tcPr>
            <w:tcW w:w="1600" w:type="dxa"/>
            <w:vMerge w:val="continue"/>
            <w:noWrap w:val="0"/>
            <w:vAlign w:val="center"/>
          </w:tcPr>
          <w:p>
            <w:pPr>
              <w:spacing w:line="380" w:lineRule="exact"/>
              <w:jc w:val="center"/>
              <w:rPr>
                <w:rFonts w:hint="eastAsia" w:ascii="宋体" w:hAnsi="宋体" w:eastAsia="宋体" w:cs="宋体"/>
                <w:color w:val="auto"/>
                <w:sz w:val="22"/>
                <w:highlight w:val="none"/>
              </w:rPr>
            </w:pPr>
          </w:p>
        </w:tc>
      </w:tr>
    </w:tbl>
    <w:p>
      <w:pPr>
        <w:spacing w:line="450" w:lineRule="exact"/>
        <w:ind w:firstLine="541" w:firstLineChars="245"/>
        <w:rPr>
          <w:rFonts w:hint="eastAsia" w:ascii="宋体" w:hAnsi="宋体" w:eastAsia="宋体" w:cs="宋体"/>
          <w:b/>
          <w:color w:val="auto"/>
          <w:sz w:val="22"/>
          <w:highlight w:val="none"/>
        </w:rPr>
      </w:pPr>
      <w:bookmarkStart w:id="4" w:name="OLE_LINK1"/>
    </w:p>
    <w:p>
      <w:pPr>
        <w:spacing w:line="240" w:lineRule="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说明：</w:t>
      </w:r>
    </w:p>
    <w:p>
      <w:pPr>
        <w:spacing w:line="360" w:lineRule="auto"/>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lang w:val="en-US" w:eastAsia="zh-CN"/>
        </w:rPr>
        <w:t>1</w:t>
      </w:r>
      <w:r>
        <w:rPr>
          <w:rFonts w:hint="eastAsia" w:ascii="宋体" w:hAnsi="宋体" w:eastAsia="宋体" w:cs="宋体"/>
          <w:b/>
          <w:color w:val="auto"/>
          <w:sz w:val="22"/>
          <w:highlight w:val="none"/>
        </w:rPr>
        <w:t>、全部报价均为税后价。</w:t>
      </w:r>
    </w:p>
    <w:p>
      <w:pPr>
        <w:pStyle w:val="3"/>
        <w:spacing w:line="360" w:lineRule="auto"/>
        <w:ind w:firstLine="442" w:firstLineChars="200"/>
        <w:rPr>
          <w:rFonts w:hint="eastAsia"/>
          <w:sz w:val="22"/>
          <w:szCs w:val="22"/>
        </w:rPr>
      </w:pPr>
      <w:r>
        <w:rPr>
          <w:rFonts w:hint="eastAsia"/>
          <w:sz w:val="22"/>
          <w:szCs w:val="22"/>
          <w:lang w:val="en-US" w:eastAsia="zh-CN"/>
        </w:rPr>
        <w:t>2、</w:t>
      </w:r>
      <w:r>
        <w:rPr>
          <w:rFonts w:hint="eastAsia"/>
          <w:sz w:val="22"/>
          <w:szCs w:val="22"/>
        </w:rPr>
        <w:t>投标总价应包括本项目整个服务期所需的一切设备、材料、软硬件、人工、工具、保险、交通、利润、税金（包含须由投标人承担的各种税费）、设备与信息平台的对接、必要的备件费</w:t>
      </w:r>
      <w:r>
        <w:rPr>
          <w:rFonts w:hint="eastAsia"/>
          <w:sz w:val="22"/>
          <w:szCs w:val="22"/>
          <w:lang w:eastAsia="zh-CN"/>
        </w:rPr>
        <w:t>、运输、维护、调试、技术协助、培训及售后服务、</w:t>
      </w:r>
      <w:r>
        <w:rPr>
          <w:rFonts w:hint="eastAsia"/>
          <w:sz w:val="22"/>
          <w:szCs w:val="22"/>
        </w:rPr>
        <w:t>其它需投标人承担的费用及潜在可能涉及的一切费用。投标人应认真计算可能发生的各相关费用并计入投标报价内，在项目实施过程中不得藉此要求增加任何费用。如上述没有提及但该项目仍需要的内容，请投标人自行考虑一并计入投标报价中（未计入的，视为投标人的优惠）</w:t>
      </w:r>
    </w:p>
    <w:p>
      <w:pPr>
        <w:pStyle w:val="3"/>
        <w:spacing w:line="360" w:lineRule="auto"/>
        <w:ind w:firstLine="442" w:firstLineChars="200"/>
        <w:rPr>
          <w:rFonts w:hint="eastAsia" w:ascii="宋体" w:hAnsi="宋体" w:eastAsia="宋体" w:cs="宋体"/>
          <w:b/>
          <w:color w:val="auto"/>
          <w:sz w:val="22"/>
          <w:highlight w:val="none"/>
          <w:lang w:eastAsia="zh-CN"/>
        </w:rPr>
      </w:pPr>
      <w:r>
        <w:rPr>
          <w:rFonts w:hint="eastAsia" w:ascii="宋体" w:hAnsi="宋体" w:eastAsia="宋体" w:cs="宋体"/>
          <w:b/>
          <w:color w:val="auto"/>
          <w:sz w:val="22"/>
          <w:highlight w:val="none"/>
          <w:lang w:val="en-US" w:eastAsia="zh-CN"/>
        </w:rPr>
        <w:t>3</w:t>
      </w:r>
      <w:r>
        <w:rPr>
          <w:rFonts w:hint="eastAsia" w:ascii="宋体" w:hAnsi="宋体" w:eastAsia="宋体" w:cs="宋体"/>
          <w:b/>
          <w:color w:val="auto"/>
          <w:sz w:val="22"/>
          <w:highlight w:val="none"/>
        </w:rPr>
        <w:t>、不提供此表格将被视为没有实质性响应文件</w:t>
      </w:r>
      <w:r>
        <w:rPr>
          <w:rFonts w:hint="eastAsia" w:ascii="宋体" w:hAnsi="宋体" w:eastAsia="宋体" w:cs="宋体"/>
          <w:b/>
          <w:color w:val="auto"/>
          <w:sz w:val="22"/>
          <w:highlight w:val="none"/>
          <w:lang w:eastAsia="zh-CN"/>
        </w:rPr>
        <w:t>。</w:t>
      </w:r>
    </w:p>
    <w:p>
      <w:pPr>
        <w:ind w:firstLine="442" w:firstLineChars="200"/>
        <w:rPr>
          <w:rFonts w:hint="default"/>
          <w:lang w:val="en-US" w:eastAsia="zh-CN"/>
        </w:rPr>
      </w:pPr>
      <w:r>
        <w:rPr>
          <w:rFonts w:hint="eastAsia" w:ascii="宋体" w:hAnsi="宋体" w:cs="宋体"/>
          <w:b/>
          <w:color w:val="auto"/>
          <w:sz w:val="22"/>
          <w:highlight w:val="none"/>
          <w:lang w:val="en-US" w:eastAsia="zh-CN"/>
        </w:rPr>
        <w:t>4、报价超过预算金额按无效标处理。</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60" w:lineRule="exact"/>
        <w:ind w:firstLine="4400" w:firstLineChars="2000"/>
        <w:rPr>
          <w:rFonts w:hint="eastAsia" w:ascii="宋体" w:hAnsi="宋体" w:eastAsia="宋体" w:cs="宋体"/>
          <w:color w:val="auto"/>
          <w:sz w:val="22"/>
          <w:szCs w:val="22"/>
          <w:highlight w:val="none"/>
        </w:rPr>
      </w:pPr>
    </w:p>
    <w:p>
      <w:pPr>
        <w:spacing w:line="460" w:lineRule="exact"/>
        <w:rPr>
          <w:rFonts w:hint="eastAsia" w:ascii="宋体" w:hAnsi="宋体" w:eastAsia="宋体" w:cs="宋体"/>
          <w:color w:val="auto"/>
          <w:sz w:val="22"/>
          <w:szCs w:val="22"/>
          <w:highlight w:val="none"/>
        </w:rPr>
      </w:pP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bookmarkStart w:id="5" w:name="OLE_LINK3"/>
      <w:r>
        <w:rPr>
          <w:rFonts w:hint="eastAsia" w:ascii="宋体" w:hAnsi="宋体" w:eastAsia="宋体" w:cs="宋体"/>
          <w:color w:val="auto"/>
          <w:sz w:val="22"/>
          <w:szCs w:val="22"/>
          <w:highlight w:val="none"/>
        </w:rPr>
        <w:t xml:space="preserve">  供应商全称（盖章）：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供应商代表（签字）：</w:t>
      </w:r>
    </w:p>
    <w:p>
      <w:pPr>
        <w:spacing w:line="460" w:lineRule="exact"/>
        <w:ind w:firstLine="4400" w:firstLineChars="2000"/>
        <w:rPr>
          <w:rFonts w:hint="eastAsia" w:ascii="宋体" w:hAnsi="宋体" w:eastAsia="宋体" w:cs="宋体"/>
          <w:b/>
          <w:bCs/>
          <w:caps/>
          <w:sz w:val="28"/>
          <w:szCs w:val="28"/>
          <w:lang w:eastAsia="zh-CN"/>
        </w:rPr>
      </w:pPr>
      <w:r>
        <w:rPr>
          <w:rFonts w:hint="eastAsia" w:ascii="宋体" w:hAnsi="宋体" w:eastAsia="宋体" w:cs="宋体"/>
          <w:color w:val="auto"/>
          <w:sz w:val="22"/>
          <w:szCs w:val="22"/>
          <w:highlight w:val="none"/>
        </w:rPr>
        <w:t xml:space="preserve">   日  期：   </w:t>
      </w:r>
      <w:bookmarkEnd w:id="4"/>
      <w:bookmarkEnd w:id="5"/>
    </w:p>
    <w:p>
      <w:pPr>
        <w:spacing w:line="360" w:lineRule="auto"/>
        <w:ind w:firstLine="3092" w:firstLineChars="1100"/>
        <w:jc w:val="both"/>
        <w:rPr>
          <w:rFonts w:hint="eastAsia" w:ascii="宋体" w:hAnsi="宋体" w:eastAsia="宋体" w:cs="宋体"/>
          <w:b/>
          <w:bCs/>
          <w:caps/>
          <w:sz w:val="28"/>
          <w:szCs w:val="28"/>
          <w:lang w:eastAsia="zh-CN"/>
        </w:rPr>
      </w:pPr>
    </w:p>
    <w:p>
      <w:pPr>
        <w:spacing w:line="460" w:lineRule="exact"/>
        <w:ind w:firstLine="4200" w:firstLineChars="2000"/>
        <w:rPr>
          <w:rFonts w:hint="eastAsia"/>
        </w:rPr>
      </w:pPr>
    </w:p>
    <w:sectPr>
      <w:pgSz w:w="11906" w:h="16838"/>
      <w:pgMar w:top="850" w:right="1236" w:bottom="85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CF367B"/>
    <w:multiLevelType w:val="singleLevel"/>
    <w:tmpl w:val="E2CF367B"/>
    <w:lvl w:ilvl="0" w:tentative="0">
      <w:start w:val="1"/>
      <w:numFmt w:val="decimal"/>
      <w:suff w:val="nothing"/>
      <w:lvlText w:val="%1、"/>
      <w:lvlJc w:val="left"/>
    </w:lvl>
  </w:abstractNum>
  <w:abstractNum w:abstractNumId="1">
    <w:nsid w:val="E7F69252"/>
    <w:multiLevelType w:val="singleLevel"/>
    <w:tmpl w:val="E7F69252"/>
    <w:lvl w:ilvl="0" w:tentative="0">
      <w:start w:val="2"/>
      <w:numFmt w:val="decimal"/>
      <w:suff w:val="nothing"/>
      <w:lvlText w:val="%1、"/>
      <w:lvlJc w:val="left"/>
    </w:lvl>
  </w:abstractNum>
  <w:abstractNum w:abstractNumId="2">
    <w:nsid w:val="6A02ED19"/>
    <w:multiLevelType w:val="singleLevel"/>
    <w:tmpl w:val="6A02ED19"/>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MTM1ODcxZjQ3NGE4ODE2Njg0ODFkZTMzOWI0ZjUifQ=="/>
  </w:docVars>
  <w:rsids>
    <w:rsidRoot w:val="442D7AA8"/>
    <w:rsid w:val="000838A3"/>
    <w:rsid w:val="0029760C"/>
    <w:rsid w:val="003D41C7"/>
    <w:rsid w:val="003E091A"/>
    <w:rsid w:val="00537F7B"/>
    <w:rsid w:val="005D6C7D"/>
    <w:rsid w:val="0077449E"/>
    <w:rsid w:val="009C732C"/>
    <w:rsid w:val="00A81427"/>
    <w:rsid w:val="00BD504C"/>
    <w:rsid w:val="00DB7EDC"/>
    <w:rsid w:val="00FA6B75"/>
    <w:rsid w:val="02A227A1"/>
    <w:rsid w:val="0BBB44B9"/>
    <w:rsid w:val="0BDA4362"/>
    <w:rsid w:val="0F427144"/>
    <w:rsid w:val="0F9C6A6C"/>
    <w:rsid w:val="0FFF40C5"/>
    <w:rsid w:val="1124087B"/>
    <w:rsid w:val="15017D68"/>
    <w:rsid w:val="154327F2"/>
    <w:rsid w:val="15F0193F"/>
    <w:rsid w:val="16586A57"/>
    <w:rsid w:val="16F2475C"/>
    <w:rsid w:val="198C252E"/>
    <w:rsid w:val="1E2678BE"/>
    <w:rsid w:val="1E612507"/>
    <w:rsid w:val="203F5CE6"/>
    <w:rsid w:val="253F05F7"/>
    <w:rsid w:val="26614AE7"/>
    <w:rsid w:val="28BF2238"/>
    <w:rsid w:val="2C0B329E"/>
    <w:rsid w:val="2C2438C8"/>
    <w:rsid w:val="2EE23DA1"/>
    <w:rsid w:val="2FFD1365"/>
    <w:rsid w:val="32C5156E"/>
    <w:rsid w:val="33F15215"/>
    <w:rsid w:val="345A29A7"/>
    <w:rsid w:val="34E95E89"/>
    <w:rsid w:val="35B42E80"/>
    <w:rsid w:val="365A7C39"/>
    <w:rsid w:val="38620F4A"/>
    <w:rsid w:val="3AA307AA"/>
    <w:rsid w:val="3B8853D8"/>
    <w:rsid w:val="3D4A148F"/>
    <w:rsid w:val="3FFF3ABB"/>
    <w:rsid w:val="42442951"/>
    <w:rsid w:val="435E173B"/>
    <w:rsid w:val="442D7AA8"/>
    <w:rsid w:val="4642189D"/>
    <w:rsid w:val="4B9E1807"/>
    <w:rsid w:val="4BB26B7D"/>
    <w:rsid w:val="4C5752EB"/>
    <w:rsid w:val="50250266"/>
    <w:rsid w:val="55501C62"/>
    <w:rsid w:val="55F33501"/>
    <w:rsid w:val="57A36574"/>
    <w:rsid w:val="58C3686E"/>
    <w:rsid w:val="58D72375"/>
    <w:rsid w:val="58DD5B64"/>
    <w:rsid w:val="591E1A6A"/>
    <w:rsid w:val="5CC76201"/>
    <w:rsid w:val="5DAF6DF6"/>
    <w:rsid w:val="5F3D5DBA"/>
    <w:rsid w:val="62404A8B"/>
    <w:rsid w:val="628A0450"/>
    <w:rsid w:val="63750765"/>
    <w:rsid w:val="642B0A6B"/>
    <w:rsid w:val="67157B94"/>
    <w:rsid w:val="68C80848"/>
    <w:rsid w:val="69612182"/>
    <w:rsid w:val="69F543AD"/>
    <w:rsid w:val="724D0AFE"/>
    <w:rsid w:val="72AB2F31"/>
    <w:rsid w:val="72E83474"/>
    <w:rsid w:val="72F62F44"/>
    <w:rsid w:val="73F11CC8"/>
    <w:rsid w:val="74CA388D"/>
    <w:rsid w:val="75304775"/>
    <w:rsid w:val="78362761"/>
    <w:rsid w:val="79F966D5"/>
    <w:rsid w:val="7DBF4FA6"/>
    <w:rsid w:val="7DD2211B"/>
    <w:rsid w:val="7E036272"/>
    <w:rsid w:val="7E7A2C7B"/>
    <w:rsid w:val="7F0817C6"/>
    <w:rsid w:val="7F526CB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keepNext/>
      <w:keepLines/>
      <w:tabs>
        <w:tab w:val="left" w:pos="840"/>
      </w:tabs>
      <w:adjustRightInd w:val="0"/>
      <w:snapToGrid w:val="0"/>
      <w:spacing w:line="360" w:lineRule="auto"/>
      <w:outlineLvl w:val="0"/>
    </w:pPr>
    <w:rPr>
      <w:rFonts w:ascii="宋体"/>
      <w:b/>
      <w:kern w:val="44"/>
      <w:sz w:val="24"/>
    </w:rPr>
  </w:style>
  <w:style w:type="paragraph" w:styleId="4">
    <w:name w:val="heading 4"/>
    <w:basedOn w:val="1"/>
    <w:next w:val="1"/>
    <w:autoRedefine/>
    <w:qFormat/>
    <w:uiPriority w:val="0"/>
    <w:pPr>
      <w:keepNext/>
      <w:keepLines/>
      <w:spacing w:line="540" w:lineRule="atLeast"/>
      <w:outlineLvl w:val="3"/>
    </w:pPr>
    <w:rPr>
      <w:sz w:val="28"/>
      <w:szCs w:val="28"/>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rPr>
      <w:szCs w:val="20"/>
    </w:rPr>
  </w:style>
  <w:style w:type="paragraph" w:styleId="5">
    <w:name w:val="Body Text"/>
    <w:basedOn w:val="1"/>
    <w:next w:val="6"/>
    <w:autoRedefine/>
    <w:qFormat/>
    <w:uiPriority w:val="0"/>
    <w:pPr>
      <w:spacing w:after="120" w:afterLines="0"/>
    </w:pPr>
  </w:style>
  <w:style w:type="paragraph" w:styleId="6">
    <w:name w:val="Body Text First Indent"/>
    <w:basedOn w:val="5"/>
    <w:next w:val="7"/>
    <w:autoRedefine/>
    <w:semiHidden/>
    <w:unhideWhenUsed/>
    <w:qFormat/>
    <w:uiPriority w:val="99"/>
    <w:pPr>
      <w:ind w:firstLine="420" w:firstLineChars="100"/>
    </w:pPr>
    <w:rPr>
      <w:rFonts w:asciiTheme="minorHAnsi" w:hAnsiTheme="minorHAnsi" w:eastAsiaTheme="minorEastAsia" w:cstheme="minorBidi"/>
      <w:szCs w:val="22"/>
    </w:rPr>
  </w:style>
  <w:style w:type="paragraph" w:styleId="7">
    <w:name w:val="toc 6"/>
    <w:basedOn w:val="1"/>
    <w:next w:val="1"/>
    <w:autoRedefine/>
    <w:qFormat/>
    <w:uiPriority w:val="0"/>
    <w:pPr>
      <w:ind w:left="2100" w:leftChars="1000"/>
    </w:pPr>
  </w:style>
  <w:style w:type="paragraph" w:styleId="8">
    <w:name w:val="Body Text Indent"/>
    <w:basedOn w:val="1"/>
    <w:autoRedefine/>
    <w:qFormat/>
    <w:uiPriority w:val="0"/>
    <w:pPr>
      <w:ind w:left="480" w:hanging="480" w:hangingChars="200"/>
    </w:pPr>
    <w:rPr>
      <w:rFonts w:ascii="Times New Roman" w:hAnsi="Times New Roman" w:eastAsia="宋体" w:cs="Times New Roman"/>
      <w:sz w:val="24"/>
      <w:szCs w:val="24"/>
    </w:rPr>
  </w:style>
  <w:style w:type="paragraph" w:styleId="9">
    <w:name w:val="Plain Text"/>
    <w:basedOn w:val="1"/>
    <w:autoRedefine/>
    <w:qFormat/>
    <w:uiPriority w:val="0"/>
    <w:pPr>
      <w:spacing w:beforeLines="50" w:afterLines="50" w:line="400" w:lineRule="exact"/>
    </w:pPr>
    <w:rPr>
      <w:rFonts w:ascii="宋体" w:hAnsi="Courier New"/>
      <w:sz w:val="24"/>
    </w:rPr>
  </w:style>
  <w:style w:type="paragraph" w:styleId="10">
    <w:name w:val="footer"/>
    <w:basedOn w:val="1"/>
    <w:link w:val="20"/>
    <w:autoRedefine/>
    <w:qFormat/>
    <w:uiPriority w:val="0"/>
    <w:pPr>
      <w:tabs>
        <w:tab w:val="center" w:pos="4153"/>
        <w:tab w:val="right" w:pos="8306"/>
      </w:tabs>
      <w:snapToGrid w:val="0"/>
      <w:jc w:val="left"/>
    </w:pPr>
    <w:rPr>
      <w:sz w:val="18"/>
      <w:szCs w:val="18"/>
    </w:rPr>
  </w:style>
  <w:style w:type="paragraph" w:styleId="11">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First Indent 2"/>
    <w:basedOn w:val="8"/>
    <w:autoRedefine/>
    <w:unhideWhenUsed/>
    <w:qFormat/>
    <w:uiPriority w:val="99"/>
    <w:pPr>
      <w:ind w:firstLine="420" w:firstLineChars="200"/>
    </w:pPr>
  </w:style>
  <w:style w:type="table" w:styleId="14">
    <w:name w:val="Table Grid"/>
    <w:basedOn w:val="13"/>
    <w:autoRedefine/>
    <w:qFormat/>
    <w:uiPriority w:val="0"/>
    <w:pPr>
      <w:widowControl w:val="0"/>
      <w:jc w:val="both"/>
    </w:pPr>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BodyText1I"/>
    <w:basedOn w:val="17"/>
    <w:autoRedefine/>
    <w:qFormat/>
    <w:uiPriority w:val="0"/>
    <w:pPr>
      <w:ind w:firstLine="420" w:firstLineChars="100"/>
    </w:pPr>
  </w:style>
  <w:style w:type="paragraph" w:customStyle="1" w:styleId="17">
    <w:name w:val="BodyText"/>
    <w:basedOn w:val="1"/>
    <w:autoRedefine/>
    <w:qFormat/>
    <w:uiPriority w:val="0"/>
    <w:pPr>
      <w:spacing w:after="120"/>
    </w:pPr>
  </w:style>
  <w:style w:type="paragraph" w:customStyle="1" w:styleId="18">
    <w:name w:val="表格文字"/>
    <w:basedOn w:val="1"/>
    <w:next w:val="5"/>
    <w:autoRedefine/>
    <w:qFormat/>
    <w:uiPriority w:val="0"/>
    <w:pPr>
      <w:autoSpaceDE w:val="0"/>
      <w:autoSpaceDN w:val="0"/>
      <w:adjustRightInd w:val="0"/>
      <w:spacing w:line="420" w:lineRule="atLeast"/>
      <w:jc w:val="left"/>
      <w:textAlignment w:val="baseline"/>
    </w:pPr>
    <w:rPr>
      <w:rFonts w:hAnsi="宋体" w:cs="宋体"/>
      <w:kern w:val="0"/>
      <w:sz w:val="22"/>
      <w:lang w:val="zh-CN" w:bidi="zh-CN"/>
    </w:rPr>
  </w:style>
  <w:style w:type="character" w:customStyle="1" w:styleId="19">
    <w:name w:val="页眉 Char"/>
    <w:basedOn w:val="15"/>
    <w:link w:val="11"/>
    <w:autoRedefine/>
    <w:qFormat/>
    <w:uiPriority w:val="0"/>
    <w:rPr>
      <w:kern w:val="2"/>
      <w:sz w:val="18"/>
      <w:szCs w:val="18"/>
    </w:rPr>
  </w:style>
  <w:style w:type="character" w:customStyle="1" w:styleId="20">
    <w:name w:val="页脚 Char"/>
    <w:basedOn w:val="15"/>
    <w:link w:val="10"/>
    <w:autoRedefine/>
    <w:qFormat/>
    <w:uiPriority w:val="0"/>
    <w:rPr>
      <w:kern w:val="2"/>
      <w:sz w:val="18"/>
      <w:szCs w:val="18"/>
    </w:rPr>
  </w:style>
  <w:style w:type="paragraph" w:styleId="21">
    <w:name w:val="List Paragraph"/>
    <w:basedOn w:val="1"/>
    <w:autoRedefine/>
    <w:qFormat/>
    <w:uiPriority w:val="0"/>
    <w:pPr>
      <w:ind w:firstLine="420" w:firstLineChars="200"/>
    </w:pPr>
    <w:rPr>
      <w:rFonts w:ascii="Calibri" w:hAnsi="Calibri"/>
      <w:szCs w:val="22"/>
    </w:rPr>
  </w:style>
  <w:style w:type="paragraph" w:customStyle="1" w:styleId="22">
    <w:name w:val="列出段落1"/>
    <w:basedOn w:val="1"/>
    <w:autoRedefine/>
    <w:qFormat/>
    <w:uiPriority w:val="0"/>
    <w:pPr>
      <w:widowControl/>
      <w:spacing w:after="160" w:line="360" w:lineRule="auto"/>
      <w:ind w:left="720"/>
      <w:contextualSpacing/>
      <w:jc w:val="left"/>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3285</Words>
  <Characters>3349</Characters>
  <Lines>17</Lines>
  <Paragraphs>4</Paragraphs>
  <TotalTime>0</TotalTime>
  <ScaleCrop>false</ScaleCrop>
  <LinksUpToDate>false</LinksUpToDate>
  <CharactersWithSpaces>3403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2019-08-15T09:42:00Z</dcterms:created>
  <dc:creator>小米</dc:creator>
  <cp:lastModifiedBy>李恩贤</cp:lastModifiedBy>
  <dcterms:modified xsi:type="dcterms:W3CDTF">2025-10-17T06:48:02Z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CF4D7000972C4C08B5DE9B97C87BFA2B_13</vt:lpwstr>
  </property>
  <property fmtid="{D5CDD505-2E9C-101B-9397-08002B2CF9AE}" pid="4" name="KSOTemplateDocerSaveRecord">
    <vt:lpwstr>eyJoZGlkIjoiNmMyMTAzZGJhYmZjM2QxZDk4OTE3MDVkMTNlYTIzODgiLCJ1c2VySWQiOiIyNjc5NjA4NjEifQ==</vt:lpwstr>
  </property>
</Properties>
</file>