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tLeast"/>
        <w:jc w:val="center"/>
        <w:rPr>
          <w:rFonts w:hint="default" w:asciiTheme="majorEastAsia" w:hAnsiTheme="majorEastAsia" w:eastAsiaTheme="majorEastAsia" w:cstheme="majorEastAsia"/>
          <w:b/>
          <w:bCs/>
          <w:color w:val="auto"/>
          <w:sz w:val="36"/>
          <w:szCs w:val="36"/>
          <w:u w:val="none"/>
          <w:lang w:val="en-US" w:eastAsia="zh-CN"/>
        </w:rPr>
      </w:pPr>
      <w:r>
        <w:rPr>
          <w:rFonts w:hint="eastAsia" w:asciiTheme="majorEastAsia" w:hAnsiTheme="majorEastAsia" w:eastAsiaTheme="majorEastAsia" w:cstheme="majorEastAsia"/>
          <w:b/>
          <w:bCs/>
          <w:color w:val="auto"/>
          <w:sz w:val="36"/>
          <w:szCs w:val="36"/>
          <w:u w:val="none"/>
          <w:lang w:val="en-US" w:eastAsia="zh-CN"/>
        </w:rPr>
        <w:t>采购内容及要求</w:t>
      </w:r>
    </w:p>
    <w:p>
      <w:pPr>
        <w:spacing w:line="360" w:lineRule="auto"/>
        <w:rPr>
          <w:rFonts w:hint="eastAsia"/>
          <w:b/>
          <w:bCs/>
          <w:color w:val="auto"/>
          <w:sz w:val="28"/>
          <w:szCs w:val="28"/>
        </w:rPr>
      </w:pPr>
      <w:r>
        <w:rPr>
          <w:rFonts w:hint="eastAsia"/>
          <w:b/>
          <w:bCs/>
          <w:color w:val="auto"/>
          <w:sz w:val="28"/>
          <w:szCs w:val="28"/>
        </w:rPr>
        <w:t>一、项目概况</w:t>
      </w:r>
    </w:p>
    <w:p>
      <w:pPr>
        <w:numPr>
          <w:ilvl w:val="0"/>
          <w:numId w:val="0"/>
        </w:numPr>
        <w:spacing w:line="360" w:lineRule="auto"/>
        <w:ind w:firstLine="480" w:firstLineChars="200"/>
        <w:rPr>
          <w:rFonts w:hint="eastAsia" w:ascii="宋体" w:hAnsi="宋体" w:eastAsia="宋体" w:cs="宋体"/>
          <w:b w:val="0"/>
          <w:bCs w:val="0"/>
          <w:color w:val="auto"/>
          <w:sz w:val="24"/>
          <w:szCs w:val="24"/>
          <w:u w:val="none"/>
        </w:rPr>
      </w:pPr>
      <w:r>
        <w:rPr>
          <w:rFonts w:hint="eastAsia"/>
          <w:color w:val="auto"/>
          <w:sz w:val="24"/>
          <w:szCs w:val="24"/>
          <w:lang w:val="en-US" w:eastAsia="zh-CN"/>
        </w:rPr>
        <w:t>项目名称</w:t>
      </w:r>
      <w:r>
        <w:rPr>
          <w:rFonts w:hint="eastAsia"/>
          <w:color w:val="auto"/>
          <w:sz w:val="24"/>
          <w:szCs w:val="24"/>
        </w:rPr>
        <w:t>：</w:t>
      </w:r>
      <w:r>
        <w:rPr>
          <w:rFonts w:hint="eastAsia" w:asciiTheme="majorEastAsia" w:hAnsiTheme="majorEastAsia" w:eastAsiaTheme="majorEastAsia" w:cstheme="majorEastAsia"/>
          <w:b w:val="0"/>
          <w:bCs w:val="0"/>
          <w:color w:val="auto"/>
          <w:sz w:val="24"/>
          <w:szCs w:val="24"/>
          <w:u w:val="none"/>
          <w:lang w:val="en-US" w:eastAsia="zh-CN"/>
        </w:rPr>
        <w:t>温州市中医院六虹桥院区楼控系统维保</w:t>
      </w:r>
      <w:bookmarkStart w:id="0" w:name="_GoBack"/>
      <w:bookmarkEnd w:id="0"/>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采购方式：询价采购</w:t>
      </w:r>
    </w:p>
    <w:p>
      <w:pPr>
        <w:spacing w:line="360" w:lineRule="auto"/>
        <w:ind w:firstLine="480" w:firstLineChars="200"/>
        <w:rPr>
          <w:rFonts w:hint="default" w:eastAsia="宋体"/>
          <w:color w:val="auto"/>
          <w:sz w:val="24"/>
          <w:szCs w:val="24"/>
          <w:lang w:val="en-US" w:eastAsia="zh-CN"/>
        </w:rPr>
      </w:pPr>
      <w:r>
        <w:rPr>
          <w:rFonts w:hint="eastAsia"/>
          <w:color w:val="auto"/>
          <w:sz w:val="24"/>
          <w:szCs w:val="24"/>
        </w:rPr>
        <w:t>预算</w:t>
      </w:r>
      <w:r>
        <w:rPr>
          <w:rFonts w:hint="eastAsia"/>
          <w:color w:val="auto"/>
          <w:sz w:val="24"/>
          <w:szCs w:val="24"/>
          <w:lang w:val="en-US" w:eastAsia="zh-CN"/>
        </w:rPr>
        <w:t>金额</w:t>
      </w:r>
      <w:r>
        <w:rPr>
          <w:rFonts w:hint="eastAsia"/>
          <w:color w:val="auto"/>
          <w:sz w:val="24"/>
          <w:szCs w:val="24"/>
        </w:rPr>
        <w:t>：</w:t>
      </w:r>
      <w:r>
        <w:rPr>
          <w:rFonts w:hint="default"/>
          <w:color w:val="auto"/>
          <w:sz w:val="24"/>
          <w:szCs w:val="24"/>
        </w:rPr>
        <w:t>3</w:t>
      </w:r>
      <w:r>
        <w:rPr>
          <w:rFonts w:hint="eastAsia"/>
          <w:color w:val="auto"/>
          <w:sz w:val="24"/>
          <w:szCs w:val="24"/>
          <w:lang w:val="en-US" w:eastAsia="zh-CN"/>
        </w:rPr>
        <w:t>5000</w:t>
      </w:r>
      <w:r>
        <w:rPr>
          <w:rFonts w:hint="eastAsia"/>
          <w:color w:val="auto"/>
          <w:sz w:val="24"/>
          <w:szCs w:val="24"/>
        </w:rPr>
        <w:t>元</w:t>
      </w:r>
      <w:r>
        <w:rPr>
          <w:rFonts w:hint="eastAsia"/>
          <w:color w:val="auto"/>
          <w:sz w:val="24"/>
          <w:szCs w:val="24"/>
          <w:lang w:val="en-US" w:eastAsia="zh-CN"/>
        </w:rPr>
        <w:t>/年</w:t>
      </w:r>
    </w:p>
    <w:p>
      <w:pPr>
        <w:numPr>
          <w:ilvl w:val="0"/>
          <w:numId w:val="0"/>
        </w:numPr>
        <w:spacing w:line="360" w:lineRule="auto"/>
        <w:ind w:left="0" w:leftChars="0" w:firstLine="0" w:firstLineChars="0"/>
        <w:rPr>
          <w:rFonts w:hint="eastAsia"/>
          <w:b/>
          <w:bCs/>
          <w:color w:val="auto"/>
          <w:sz w:val="28"/>
          <w:szCs w:val="28"/>
          <w:lang w:val="en-US" w:eastAsia="zh-CN"/>
        </w:rPr>
      </w:pPr>
      <w:r>
        <w:rPr>
          <w:rFonts w:hint="eastAsia" w:ascii="Times New Roman" w:hAnsi="Times New Roman" w:eastAsia="宋体" w:cs="Times New Roman"/>
          <w:b/>
          <w:bCs/>
          <w:color w:val="auto"/>
          <w:kern w:val="2"/>
          <w:sz w:val="28"/>
          <w:szCs w:val="28"/>
          <w:lang w:val="en-US" w:eastAsia="zh-CN" w:bidi="ar-SA"/>
        </w:rPr>
        <w:t>二、</w:t>
      </w:r>
      <w:r>
        <w:rPr>
          <w:rFonts w:hint="eastAsia"/>
          <w:b/>
          <w:bCs/>
          <w:color w:val="auto"/>
          <w:sz w:val="28"/>
          <w:szCs w:val="28"/>
          <w:lang w:val="en-US" w:eastAsia="zh-CN"/>
        </w:rPr>
        <w:t>项目主要内容及要求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温州市中医院六虹桥院区</w:t>
      </w:r>
      <w:r>
        <w:rPr>
          <w:rFonts w:hint="eastAsia" w:ascii="宋体" w:hAnsi="宋体" w:cs="宋体"/>
          <w:color w:val="auto"/>
          <w:sz w:val="24"/>
          <w:szCs w:val="24"/>
          <w:lang w:val="en-US" w:eastAsia="zh-CN"/>
        </w:rPr>
        <w:t>楼宇控制系统设备清单如下</w:t>
      </w:r>
      <w:r>
        <w:rPr>
          <w:rFonts w:hint="eastAsia" w:ascii="宋体" w:hAnsi="宋体" w:eastAsia="宋体" w:cs="宋体"/>
          <w:color w:val="auto"/>
          <w:sz w:val="24"/>
          <w:szCs w:val="24"/>
          <w:lang w:val="en-US" w:eastAsia="zh-CN"/>
        </w:rPr>
        <w:t>。</w:t>
      </w:r>
    </w:p>
    <w:p>
      <w:pPr>
        <w:pStyle w:val="20"/>
        <w:keepNext w:val="0"/>
        <w:keepLines w:val="0"/>
        <w:pageBreakBefore w:val="0"/>
        <w:numPr>
          <w:ilvl w:val="0"/>
          <w:numId w:val="0"/>
        </w:numPr>
        <w:kinsoku/>
        <w:wordWrap/>
        <w:overflowPunct/>
        <w:topLinePunct w:val="0"/>
        <w:autoSpaceDE/>
        <w:autoSpaceDN/>
        <w:bidi w:val="0"/>
        <w:adjustRightInd/>
        <w:spacing w:after="0" w:line="360" w:lineRule="auto"/>
        <w:ind w:firstLine="240" w:firstLineChars="1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1期楼控系统</w:t>
      </w:r>
      <w:r>
        <w:rPr>
          <w:rFonts w:hint="eastAsia" w:ascii="宋体" w:hAnsi="宋体" w:cs="宋体"/>
          <w:color w:val="auto"/>
          <w:sz w:val="24"/>
          <w:szCs w:val="24"/>
          <w:lang w:val="en-US" w:eastAsia="zh-CN"/>
        </w:rPr>
        <w:t>：包括</w:t>
      </w:r>
      <w:r>
        <w:rPr>
          <w:rFonts w:hint="eastAsia" w:ascii="宋体" w:hAnsi="宋体" w:eastAsia="宋体" w:cs="宋体"/>
          <w:color w:val="auto"/>
          <w:sz w:val="24"/>
          <w:szCs w:val="24"/>
          <w:lang w:val="en-US" w:eastAsia="zh-CN"/>
        </w:rPr>
        <w:t>66台</w:t>
      </w:r>
      <w:r>
        <w:rPr>
          <w:rFonts w:hint="eastAsia" w:ascii="宋体" w:hAnsi="宋体" w:cs="宋体"/>
          <w:color w:val="auto"/>
          <w:sz w:val="24"/>
          <w:szCs w:val="24"/>
          <w:lang w:val="en-US" w:eastAsia="zh-CN"/>
        </w:rPr>
        <w:t>新风机组</w:t>
      </w:r>
      <w:r>
        <w:rPr>
          <w:rFonts w:hint="eastAsia" w:ascii="宋体" w:hAnsi="宋体" w:eastAsia="宋体" w:cs="宋体"/>
          <w:color w:val="auto"/>
          <w:sz w:val="24"/>
          <w:szCs w:val="24"/>
          <w:lang w:val="en-US" w:eastAsia="zh-CN"/>
        </w:rPr>
        <w:t>、45个集水坑、一氧化碳及二氧化碳55只及排</w:t>
      </w:r>
      <w:r>
        <w:rPr>
          <w:rFonts w:hint="eastAsia" w:ascii="宋体" w:hAnsi="宋体" w:cs="宋体"/>
          <w:color w:val="auto"/>
          <w:sz w:val="24"/>
          <w:szCs w:val="24"/>
          <w:lang w:val="en-US" w:eastAsia="zh-CN"/>
        </w:rPr>
        <w:t>送</w:t>
      </w:r>
      <w:r>
        <w:rPr>
          <w:rFonts w:hint="eastAsia" w:ascii="宋体" w:hAnsi="宋体" w:eastAsia="宋体" w:cs="宋体"/>
          <w:color w:val="auto"/>
          <w:sz w:val="24"/>
          <w:szCs w:val="24"/>
          <w:lang w:val="en-US" w:eastAsia="zh-CN"/>
        </w:rPr>
        <w:t>风机</w:t>
      </w:r>
      <w:r>
        <w:rPr>
          <w:rFonts w:hint="eastAsia" w:ascii="宋体" w:hAnsi="宋体" w:cs="宋体"/>
          <w:color w:val="auto"/>
          <w:sz w:val="24"/>
          <w:szCs w:val="24"/>
          <w:lang w:val="en-US" w:eastAsia="zh-CN"/>
        </w:rPr>
        <w:t>的集中控制系统</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rPr>
        <w:t xml:space="preserve"> </w:t>
      </w:r>
    </w:p>
    <w:tbl>
      <w:tblPr>
        <w:tblStyle w:val="12"/>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073"/>
        <w:gridCol w:w="3491"/>
        <w:gridCol w:w="1624"/>
        <w:gridCol w:w="772"/>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075"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材料名称</w:t>
            </w:r>
          </w:p>
        </w:tc>
        <w:tc>
          <w:tcPr>
            <w:tcW w:w="181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规格型号</w:t>
            </w:r>
          </w:p>
        </w:tc>
        <w:tc>
          <w:tcPr>
            <w:tcW w:w="842"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品牌</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IQ3XCITE/96/UK/100-240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冷热源设备</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IQ3XCITE/00/XNC/SER/UK/100-240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XCITE/IO/16DI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XCITE/IO/4UI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XCITE/IO/4AO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XCITE/IO/8AO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电池</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XCITE/BBC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4DIX/24V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9</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模块</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4RM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控制器B型机箱</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1000*800*250  国产/中国 内含：继电器、空开、变压器等，</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11</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控制器C型机箱</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800*600*250  国产/中国 内含：继电器、空开、变压器等，</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10Nm开关型风门执行器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AD10-24-CN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13</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10Nm调节型风门执行器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AD10-P-CN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14</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液位开关</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SWL-5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15</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空气压差开关</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DPSA-400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16</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液体压力传感器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PIL3/16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17</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风管温度传感器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TB/TI/S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18</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一氧化碳浓度传感</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CO-T1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19</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二氧化碳传感器</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VC1008  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9"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20</w:t>
            </w:r>
          </w:p>
        </w:tc>
        <w:tc>
          <w:tcPr>
            <w:tcW w:w="107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BAS监控系统软件</w:t>
            </w:r>
          </w:p>
        </w:tc>
        <w:tc>
          <w:tcPr>
            <w:tcW w:w="181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TREND/中国</w:t>
            </w:r>
          </w:p>
        </w:tc>
        <w:tc>
          <w:tcPr>
            <w:tcW w:w="8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楼宇机电设备控制系统</w:t>
            </w:r>
          </w:p>
        </w:tc>
        <w:tc>
          <w:tcPr>
            <w:tcW w:w="40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7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bl>
    <w:p>
      <w:pPr>
        <w:pStyle w:val="20"/>
        <w:keepNext w:val="0"/>
        <w:keepLines w:val="0"/>
        <w:pageBreakBefore w:val="0"/>
        <w:numPr>
          <w:ilvl w:val="0"/>
          <w:numId w:val="0"/>
        </w:numPr>
        <w:kinsoku/>
        <w:wordWrap/>
        <w:overflowPunct/>
        <w:topLinePunct w:val="0"/>
        <w:autoSpaceDE/>
        <w:autoSpaceDN/>
        <w:bidi w:val="0"/>
        <w:adjustRightInd/>
        <w:spacing w:after="0" w:line="360" w:lineRule="auto"/>
        <w:ind w:left="630" w:leftChars="0" w:firstLine="480" w:firstLineChars="200"/>
        <w:jc w:val="left"/>
        <w:rPr>
          <w:rFonts w:hint="eastAsia" w:ascii="宋体" w:hAnsi="宋体" w:eastAsia="宋体" w:cs="宋体"/>
          <w:color w:val="auto"/>
          <w:sz w:val="24"/>
          <w:szCs w:val="24"/>
        </w:rPr>
      </w:pP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lang w:val="en-US" w:eastAsia="zh-CN"/>
        </w:rPr>
        <w:t>2期楼控系统</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25台新风机组.12个集水坑、一氧化碳及二氧化碳66只及送风机等。</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633"/>
        <w:gridCol w:w="3625"/>
        <w:gridCol w:w="1938"/>
        <w:gridCol w:w="819"/>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846"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材料名称</w:t>
            </w:r>
          </w:p>
        </w:tc>
        <w:tc>
          <w:tcPr>
            <w:tcW w:w="1878"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100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网络控制器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IQ4NC/00/230-1/3/卓灵/中国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通讯终端模块</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已含/卓灵/中国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控制器 4UI/2DI/3AO/3DO</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IQE35/P/BAC/NOSTRATEGY/24VAC/卓灵/中国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控制器 4UI/2DI/2TI/4AO/4DO</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IQE38/P/BAC/NOSTRATEGY/24VAC/卓灵/中国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网络模块4UI/5DO</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3RM/24VAC/卓灵/中国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网络模块8UI/2AO</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已含/卓灵/中国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网络模块4DI</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4DIX/24-1/3/卓灵/中国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DDC控制箱</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1200*1000*200/定制/中国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DDC控制箱</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1000*800*200/定制/中国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DDC控制箱</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800*600*200/定制/中国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DDC控制箱</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600*400*200/定制/中国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室外温湿度传感器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H7508B1060/卓灵/中国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压差传感器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DPSA-400-CN/卓灵/中国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风管温度传感器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TB/TI/S/卓灵/中国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10Nm开关型风门执行器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AD10-24-CN  TREND/中国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楼宇机电设备控制系统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10Nm调节型风门执行器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AD10-P-CN  TREND/中国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楼宇机电设备控制系统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电动调节阀（调节型）</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VB162/50/40/中澳合资GF/中国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一氧化碳传感器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GD250W4NB/卓灵/中国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室内二氧化碳传感器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CO2R/V/2000/中澳合资GF/中国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液位开关 </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SWL-5/中澳合资GF/中国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水管温度传感器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TB/TI/S+POC/B/6/卓灵/中国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水管压力传感器</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PIL4/16/卓灵/中国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水流开关</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SWF/中澳合资GF/中国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0"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8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流量计</w:t>
            </w:r>
          </w:p>
        </w:tc>
        <w:tc>
          <w:tcPr>
            <w:tcW w:w="18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DWM2000/科隆/中国</w:t>
            </w:r>
          </w:p>
        </w:tc>
        <w:tc>
          <w:tcPr>
            <w:tcW w:w="100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楼宇自控系统</w:t>
            </w:r>
          </w:p>
        </w:tc>
        <w:tc>
          <w:tcPr>
            <w:tcW w:w="424"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bl>
    <w:p>
      <w:pPr>
        <w:spacing w:line="360" w:lineRule="auto"/>
        <w:ind w:firstLine="480" w:firstLineChars="200"/>
        <w:rPr>
          <w:rFonts w:hint="eastAsia" w:ascii="宋体" w:hAnsi="宋体" w:cs="宋体"/>
          <w:color w:val="auto"/>
          <w:sz w:val="24"/>
          <w:szCs w:val="24"/>
        </w:rPr>
      </w:pPr>
    </w:p>
    <w:p>
      <w:pPr>
        <w:spacing w:line="360" w:lineRule="auto"/>
        <w:ind w:firstLine="480" w:firstLineChars="200"/>
        <w:rPr>
          <w:rFonts w:hint="default" w:ascii="宋体" w:hAnsi="宋体" w:eastAsia="宋体" w:cs="宋体"/>
          <w:color w:val="auto"/>
          <w:sz w:val="24"/>
          <w:szCs w:val="24"/>
        </w:rPr>
      </w:pPr>
      <w:r>
        <w:rPr>
          <w:rFonts w:hint="eastAsia" w:ascii="宋体" w:hAnsi="宋体" w:cs="宋体"/>
          <w:color w:val="auto"/>
          <w:sz w:val="24"/>
          <w:szCs w:val="24"/>
          <w:lang w:val="en-US" w:eastAsia="zh-CN"/>
        </w:rPr>
        <w:t>注：</w:t>
      </w:r>
      <w:r>
        <w:rPr>
          <w:rFonts w:hint="default" w:ascii="宋体" w:hAnsi="宋体" w:eastAsia="宋体" w:cs="宋体"/>
          <w:color w:val="auto"/>
          <w:sz w:val="24"/>
          <w:szCs w:val="24"/>
        </w:rPr>
        <w:t>一般修理、重大修理、更新改造或采购人要求供应商提供本项目约定以外的增值服务的，应当以书面形式另行约定。</w:t>
      </w:r>
    </w:p>
    <w:p>
      <w:pPr>
        <w:numPr>
          <w:ilvl w:val="0"/>
          <w:numId w:val="0"/>
        </w:numPr>
        <w:spacing w:line="360" w:lineRule="auto"/>
        <w:ind w:left="0" w:leftChars="0" w:firstLine="0" w:firstLineChars="0"/>
        <w:rPr>
          <w:rFonts w:hint="eastAsia" w:ascii="宋体" w:hAnsi="宋体" w:cs="宋体"/>
          <w:color w:val="auto"/>
          <w:sz w:val="24"/>
          <w:szCs w:val="24"/>
          <w:lang w:val="en-US" w:eastAsia="zh-CN"/>
        </w:rPr>
      </w:pPr>
      <w:r>
        <w:rPr>
          <w:rFonts w:hint="eastAsia"/>
          <w:b/>
          <w:bCs/>
          <w:color w:val="auto"/>
          <w:sz w:val="28"/>
          <w:szCs w:val="28"/>
          <w:lang w:val="en-US" w:eastAsia="zh-CN"/>
        </w:rPr>
        <w:t>2、巡检清单及内容</w:t>
      </w:r>
    </w:p>
    <w:tbl>
      <w:tblPr>
        <w:tblStyle w:val="12"/>
        <w:tblW w:w="92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9"/>
        <w:gridCol w:w="1998"/>
        <w:gridCol w:w="1284"/>
        <w:gridCol w:w="2609"/>
        <w:gridCol w:w="1567"/>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2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楼控巡检机房点位</w:t>
            </w:r>
            <w:r>
              <w:rPr>
                <w:rFonts w:hint="eastAsia" w:ascii="宋体" w:hAnsi="宋体" w:cs="宋体"/>
                <w:i w:val="0"/>
                <w:iCs w:val="0"/>
                <w:color w:val="auto"/>
                <w:kern w:val="0"/>
                <w:sz w:val="22"/>
                <w:szCs w:val="22"/>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位置</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安装地址</w:t>
            </w:r>
          </w:p>
        </w:tc>
        <w:tc>
          <w:tcPr>
            <w:tcW w:w="12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楼楼箱号</w:t>
            </w:r>
          </w:p>
        </w:tc>
        <w:tc>
          <w:tcPr>
            <w:tcW w:w="26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箱体参数</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箱体规格</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点位数量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一期地下室</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C区地下室弱电井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DDC-b1-1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50DI+4DO+4AI+5AO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1200*800*250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C区地下室弱电井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DDC-b1-2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52DI+4DO+5AI+5AO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1200*800*250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B区地下室风机房</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DDC-b1-3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49DI+4DO+5AI+5AO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B区地下室风机房</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DDC-b1-4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40DI+12DO+8AI+7AO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A区地下室通道</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DDC-b1-5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36DI+8DO+1AI+6AO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一期一楼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8DI+4DO+5AI+9AO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28DI+16DO+7AI+6AO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16DI+8DO+6AI+8AO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一期二楼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DDC-2-1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8DI+4DO+5AI+9AO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DDC-2-2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28DI+16DO+7AI+6AO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DDC-2-3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16DI+8DO+6AI+8AO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一期三楼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DDC-3-1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8DI+4DO+5AI+9AO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DDC-3-2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28DI+12DO+7AI+11AO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DDC-3-3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16DI+7DO+7AI+6AO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一期四楼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DDC-4-1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8DI+4DO+5AI+9AO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DDC-4-2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28DI+12DO+7AI+11AO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DDC-4-3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16DI+8DO+10AI+8AO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一期五楼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DDC-5-1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8DI+4DO+5AI+9AO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DDC-5-2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28DI+12DO+7AI+11AO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DDC-5-3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16DI+8DO+10AI+8AO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一期六楼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DDC-6-1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20DI+8DO+9AI+12AO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一期七楼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DDC-7-1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32DI+12DO+10AI+7AO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一期一十二楼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DDC-12-1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24DI+12DO+12AI+7AO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一期一十八楼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B区弱电井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DDC-18-1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24DI+12DO+12AI+7AO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二期地下室</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地下室风机房</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DDC-d-1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16DI+1DO+1AI</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600*500*250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地下室风机房</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DDC-d-2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13DI+1DO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600*500*250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地下室风机房</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DDC-d-3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15DI+1AI</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600*500*250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二期一楼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8DI+6DO+2AI+2AO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二期三楼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DDC-3-1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16DI+12DO+4AI+4AO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DDC-3-2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12DI+9DO+3AI+3AO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二期四楼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DDC-4-1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12DI+9DO+3AI+3AO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二期六楼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DDC-6-1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16DI+12DO+4AI+4AO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DDC-6-2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12DI+9DO+3AI+3AO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二期七楼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DDC-7-1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12DI+9DO+3AI+3AO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二期九楼</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弱电井</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DDC-9-1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12DI+9DO+3AI+3AO</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800*600*250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auto"/>
                <w:sz w:val="22"/>
                <w:szCs w:val="22"/>
                <w:u w:val="none"/>
              </w:rPr>
            </w:pPr>
            <w:r>
              <w:rPr>
                <w:rFonts w:hint="default" w:ascii="Arial" w:hAnsi="Arial" w:eastAsia="宋体" w:cs="Arial"/>
                <w:i w:val="0"/>
                <w:iCs w:val="0"/>
                <w:color w:val="auto"/>
                <w:kern w:val="0"/>
                <w:sz w:val="22"/>
                <w:szCs w:val="22"/>
                <w:u w:val="none"/>
                <w:lang w:val="en-US" w:eastAsia="zh-CN" w:bidi="ar"/>
              </w:rPr>
              <w:t>27</w:t>
            </w:r>
          </w:p>
        </w:tc>
      </w:tr>
    </w:tbl>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3、服务要求：</w:t>
      </w:r>
    </w:p>
    <w:p>
      <w:pPr>
        <w:pStyle w:val="20"/>
        <w:keepNext w:val="0"/>
        <w:keepLines w:val="0"/>
        <w:pageBreakBefore w:val="0"/>
        <w:numPr>
          <w:ilvl w:val="0"/>
          <w:numId w:val="0"/>
        </w:numPr>
        <w:kinsoku/>
        <w:wordWrap/>
        <w:overflowPunct/>
        <w:topLinePunct w:val="0"/>
        <w:autoSpaceDE/>
        <w:autoSpaceDN/>
        <w:bidi w:val="0"/>
        <w:adjustRightInd/>
        <w:spacing w:after="0" w:line="360" w:lineRule="auto"/>
        <w:ind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定期对相关的楼控点位进行巡查，排查是否有故障点。对机组末端（包括新风机组、集水坑、排送风机的配电箱）进行检查维护，包括集水坑末端（包含未接入楼控系统部分集水坑）的液位开关维护更换、提升泵的巡检。</w:t>
      </w:r>
    </w:p>
    <w:p>
      <w:pPr>
        <w:pStyle w:val="20"/>
        <w:keepNext w:val="0"/>
        <w:keepLines w:val="0"/>
        <w:pageBreakBefore w:val="0"/>
        <w:numPr>
          <w:ilvl w:val="0"/>
          <w:numId w:val="0"/>
        </w:numPr>
        <w:kinsoku/>
        <w:wordWrap/>
        <w:overflowPunct/>
        <w:topLinePunct w:val="0"/>
        <w:autoSpaceDE/>
        <w:autoSpaceDN/>
        <w:bidi w:val="0"/>
        <w:adjustRightInd/>
        <w:spacing w:after="0" w:line="360" w:lineRule="auto"/>
        <w:ind w:firstLine="480" w:firstLineChars="200"/>
        <w:jc w:val="left"/>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rPr>
        <w:t>每月一次对系统设备进行保养和检查，及紧急故障的处理工作，确保整个系统的正常运行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并出具巡查保养记录</w:t>
      </w:r>
      <w:r>
        <w:rPr>
          <w:rFonts w:hint="eastAsia" w:ascii="宋体" w:hAnsi="宋体" w:eastAsia="宋体" w:cs="宋体"/>
          <w:color w:val="auto"/>
          <w:sz w:val="24"/>
          <w:szCs w:val="24"/>
        </w:rPr>
        <w:t>。如出现设备维修</w:t>
      </w:r>
      <w:r>
        <w:rPr>
          <w:rFonts w:hint="eastAsia" w:ascii="宋体" w:hAnsi="宋体" w:cs="宋体"/>
          <w:color w:val="auto"/>
          <w:sz w:val="24"/>
          <w:szCs w:val="24"/>
          <w:lang w:val="en-US" w:eastAsia="zh-CN"/>
        </w:rPr>
        <w:t>需要</w:t>
      </w:r>
      <w:r>
        <w:rPr>
          <w:rFonts w:hint="eastAsia" w:ascii="宋体" w:hAnsi="宋体" w:eastAsia="宋体" w:cs="宋体"/>
          <w:color w:val="auto"/>
          <w:sz w:val="24"/>
          <w:szCs w:val="24"/>
        </w:rPr>
        <w:t>更换零部件</w:t>
      </w:r>
      <w:r>
        <w:rPr>
          <w:rFonts w:hint="eastAsia" w:ascii="宋体" w:hAnsi="宋体" w:cs="宋体"/>
          <w:color w:val="auto"/>
          <w:sz w:val="24"/>
          <w:szCs w:val="24"/>
          <w:lang w:val="en-US" w:eastAsia="zh-CN"/>
        </w:rPr>
        <w:t>时</w:t>
      </w:r>
      <w:r>
        <w:rPr>
          <w:rFonts w:hint="eastAsia" w:ascii="宋体" w:hAnsi="宋体" w:eastAsia="宋体" w:cs="宋体"/>
          <w:color w:val="auto"/>
          <w:sz w:val="24"/>
          <w:szCs w:val="24"/>
        </w:rPr>
        <w:t>，更换零部件及维修的相关费用由乙方支付；若设备无法维修而需重新更换设备时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维保内设施清单内设备</w:t>
      </w:r>
      <w:r>
        <w:rPr>
          <w:rFonts w:hint="eastAsia" w:ascii="宋体" w:hAnsi="宋体" w:eastAsia="宋体" w:cs="宋体"/>
          <w:color w:val="auto"/>
          <w:sz w:val="24"/>
          <w:szCs w:val="24"/>
        </w:rPr>
        <w:t>费用由乙方</w:t>
      </w:r>
      <w:r>
        <w:rPr>
          <w:rFonts w:hint="eastAsia" w:ascii="宋体" w:hAnsi="宋体" w:eastAsia="宋体" w:cs="宋体"/>
          <w:color w:val="auto"/>
          <w:sz w:val="24"/>
          <w:szCs w:val="24"/>
          <w:lang w:val="en-US" w:eastAsia="zh-CN"/>
        </w:rPr>
        <w:t>支付</w:t>
      </w:r>
      <w:r>
        <w:rPr>
          <w:rFonts w:hint="eastAsia" w:ascii="宋体" w:hAnsi="宋体" w:eastAsia="宋体" w:cs="宋体"/>
          <w:color w:val="auto"/>
          <w:sz w:val="24"/>
          <w:szCs w:val="24"/>
        </w:rPr>
        <w:t>免费安装调试。</w:t>
      </w:r>
      <w:r>
        <w:rPr>
          <w:rFonts w:hint="eastAsia" w:ascii="宋体" w:hAnsi="宋体" w:eastAsia="宋体" w:cs="宋体"/>
          <w:color w:val="auto"/>
          <w:sz w:val="24"/>
          <w:szCs w:val="24"/>
          <w:lang w:val="en-US" w:eastAsia="zh-CN"/>
        </w:rPr>
        <w:t>维保外设备</w:t>
      </w:r>
      <w:r>
        <w:rPr>
          <w:rFonts w:hint="eastAsia" w:ascii="宋体" w:hAnsi="宋体" w:eastAsia="宋体" w:cs="宋体"/>
          <w:color w:val="auto"/>
          <w:sz w:val="24"/>
          <w:szCs w:val="24"/>
        </w:rPr>
        <w:t>由乙方向甲方建议更换，甲方支付设备成本费，乙方免费安装调试。</w:t>
      </w:r>
    </w:p>
    <w:p>
      <w:pPr>
        <w:spacing w:line="360" w:lineRule="auto"/>
        <w:ind w:left="562" w:hanging="562" w:hangingChars="200"/>
        <w:rPr>
          <w:rFonts w:hint="eastAsia"/>
          <w:b/>
          <w:bCs/>
          <w:color w:val="auto"/>
          <w:sz w:val="28"/>
          <w:szCs w:val="28"/>
          <w:lang w:val="en-US" w:eastAsia="zh-CN"/>
        </w:rPr>
      </w:pPr>
      <w:r>
        <w:rPr>
          <w:rFonts w:hint="eastAsia"/>
          <w:b/>
          <w:bCs/>
          <w:color w:val="auto"/>
          <w:sz w:val="28"/>
          <w:szCs w:val="28"/>
          <w:lang w:val="en-US" w:eastAsia="zh-CN"/>
        </w:rPr>
        <w:t>三、项目服务期</w:t>
      </w:r>
    </w:p>
    <w:p>
      <w:pPr>
        <w:pStyle w:val="11"/>
        <w:spacing w:line="400" w:lineRule="exact"/>
        <w:ind w:firstLine="210"/>
        <w:rPr>
          <w:rFonts w:hint="default" w:ascii="宋体" w:hAnsi="宋体" w:eastAsia="宋体" w:cs="宋体"/>
          <w:color w:val="auto"/>
          <w:sz w:val="24"/>
          <w:szCs w:val="24"/>
          <w:u w:val="none"/>
          <w:lang w:val="en-US"/>
        </w:rPr>
      </w:pPr>
      <w:r>
        <w:rPr>
          <w:rFonts w:hint="eastAsia" w:ascii="宋体" w:hAnsi="宋体" w:eastAsia="宋体" w:cs="宋体"/>
          <w:color w:val="auto"/>
          <w:sz w:val="24"/>
          <w:szCs w:val="24"/>
          <w:lang w:eastAsia="zh-CN"/>
        </w:rPr>
        <w:t>本项目服务期限为 1 年，</w:t>
      </w:r>
      <w:r>
        <w:rPr>
          <w:rFonts w:hint="eastAsia" w:ascii="宋体" w:hAnsi="宋体" w:eastAsia="宋体" w:cs="宋体"/>
          <w:color w:val="auto"/>
          <w:sz w:val="24"/>
          <w:szCs w:val="24"/>
          <w:u w:val="none"/>
          <w:lang w:eastAsia="zh-CN"/>
        </w:rPr>
        <w:t>自</w:t>
      </w:r>
      <w:r>
        <w:rPr>
          <w:rFonts w:hint="eastAsia" w:ascii="宋体" w:hAnsi="宋体" w:eastAsia="宋体" w:cs="宋体"/>
          <w:color w:val="auto"/>
          <w:sz w:val="24"/>
          <w:szCs w:val="24"/>
          <w:u w:val="none"/>
          <w:lang w:val="en-US" w:eastAsia="zh-CN"/>
        </w:rPr>
        <w:t>合同签订之日起计。</w:t>
      </w:r>
    </w:p>
    <w:p>
      <w:pPr>
        <w:keepNext w:val="0"/>
        <w:keepLines w:val="0"/>
        <w:pageBreakBefore w:val="0"/>
        <w:kinsoku/>
        <w:wordWrap/>
        <w:topLinePunct w:val="0"/>
        <w:autoSpaceDE/>
        <w:autoSpaceDN/>
        <w:bidi w:val="0"/>
        <w:adjustRightInd/>
        <w:snapToGrid/>
        <w:spacing w:line="360" w:lineRule="auto"/>
        <w:ind w:left="562" w:hanging="562" w:hangingChars="200"/>
        <w:rPr>
          <w:rFonts w:hint="eastAsia"/>
          <w:b/>
          <w:bCs/>
          <w:color w:val="auto"/>
          <w:sz w:val="28"/>
          <w:szCs w:val="28"/>
          <w:lang w:val="en-US" w:eastAsia="zh-CN"/>
        </w:rPr>
      </w:pPr>
      <w:r>
        <w:rPr>
          <w:rFonts w:hint="eastAsia"/>
          <w:b/>
          <w:bCs/>
          <w:color w:val="auto"/>
          <w:sz w:val="28"/>
          <w:szCs w:val="28"/>
          <w:lang w:val="en-US" w:eastAsia="zh-CN"/>
        </w:rPr>
        <w:t>四</w:t>
      </w:r>
      <w:r>
        <w:rPr>
          <w:rFonts w:hint="eastAsia"/>
          <w:b/>
          <w:bCs/>
          <w:color w:val="auto"/>
          <w:sz w:val="28"/>
          <w:szCs w:val="28"/>
        </w:rPr>
        <w:t>、</w:t>
      </w:r>
      <w:r>
        <w:rPr>
          <w:rFonts w:hint="eastAsia"/>
          <w:b/>
          <w:bCs/>
          <w:color w:val="auto"/>
          <w:sz w:val="28"/>
          <w:szCs w:val="28"/>
          <w:lang w:val="en-US" w:eastAsia="zh-CN"/>
        </w:rPr>
        <w:t>付款方式</w:t>
      </w:r>
    </w:p>
    <w:p>
      <w:pPr>
        <w:pStyle w:val="4"/>
        <w:numPr>
          <w:ilvl w:val="0"/>
          <w:numId w:val="0"/>
        </w:num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先做后付，本合同签定之日起6个月后，采购人向供应商支付合同总价的50%，服务期限届满</w:t>
      </w:r>
      <w:r>
        <w:rPr>
          <w:rFonts w:hint="eastAsia" w:ascii="宋体" w:hAnsi="宋体" w:cs="宋体"/>
          <w:color w:val="auto"/>
          <w:sz w:val="24"/>
          <w:szCs w:val="24"/>
          <w:lang w:val="en-US" w:eastAsia="zh-CN"/>
        </w:rPr>
        <w:t>后</w:t>
      </w:r>
      <w:r>
        <w:rPr>
          <w:rFonts w:hint="eastAsia" w:ascii="宋体" w:hAnsi="宋体" w:eastAsia="宋体" w:cs="宋体"/>
          <w:color w:val="auto"/>
          <w:sz w:val="24"/>
          <w:szCs w:val="24"/>
          <w:lang w:val="en-US" w:eastAsia="zh-CN"/>
        </w:rPr>
        <w:t>30日内支付剩余合同总价的50%。</w:t>
      </w:r>
    </w:p>
    <w:p>
      <w:pPr>
        <w:adjustRightInd w:val="0"/>
        <w:snapToGrid w:val="0"/>
        <w:spacing w:line="360" w:lineRule="auto"/>
        <w:ind w:firstLine="480" w:firstLineChars="200"/>
        <w:rPr>
          <w:rFonts w:hint="default" w:asciiTheme="minorEastAsia" w:hAnsiTheme="minorEastAsia" w:eastAsiaTheme="minorEastAsia" w:cstheme="minorEastAsia"/>
          <w:color w:val="auto"/>
          <w:sz w:val="24"/>
          <w:szCs w:val="24"/>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ind w:firstLine="4200" w:firstLineChars="2000"/>
        <w:rPr>
          <w:rFonts w:hint="eastAsia"/>
          <w:color w:val="auto"/>
        </w:rPr>
      </w:pPr>
    </w:p>
    <w:p>
      <w:pPr>
        <w:spacing w:line="460" w:lineRule="exact"/>
        <w:rPr>
          <w:rFonts w:hint="eastAsia"/>
          <w:color w:val="auto"/>
        </w:rPr>
      </w:pPr>
    </w:p>
    <w:p>
      <w:pPr>
        <w:keepNext w:val="0"/>
        <w:keepLines w:val="0"/>
        <w:pageBreakBefore w:val="0"/>
        <w:kinsoku/>
        <w:wordWrap/>
        <w:overflowPunct/>
        <w:topLinePunct w:val="0"/>
        <w:autoSpaceDE/>
        <w:autoSpaceDN/>
        <w:bidi w:val="0"/>
        <w:adjustRightInd/>
        <w:spacing w:after="0" w:line="360" w:lineRule="auto"/>
        <w:jc w:val="both"/>
        <w:rPr>
          <w:rFonts w:hint="eastAsia"/>
          <w:b/>
          <w:bCs/>
          <w:color w:val="auto"/>
          <w:sz w:val="28"/>
          <w:szCs w:val="28"/>
          <w:lang w:val="en-US" w:eastAsia="zh-CN"/>
        </w:rPr>
      </w:pPr>
      <w:r>
        <w:rPr>
          <w:rFonts w:hint="eastAsia"/>
          <w:b/>
          <w:bCs/>
          <w:color w:val="auto"/>
          <w:sz w:val="28"/>
          <w:szCs w:val="28"/>
          <w:lang w:val="en-US" w:eastAsia="zh-CN"/>
        </w:rPr>
        <w:t>附件：</w:t>
      </w:r>
    </w:p>
    <w:p>
      <w:pPr>
        <w:keepNext w:val="0"/>
        <w:keepLines w:val="0"/>
        <w:pageBreakBefore w:val="0"/>
        <w:kinsoku/>
        <w:wordWrap/>
        <w:overflowPunct/>
        <w:topLinePunct w:val="0"/>
        <w:autoSpaceDE/>
        <w:autoSpaceDN/>
        <w:bidi w:val="0"/>
        <w:adjustRightInd/>
        <w:spacing w:after="0" w:line="360" w:lineRule="auto"/>
        <w:ind w:firstLine="3654" w:firstLineChars="1300"/>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楼宇控制系统维保服务合同书</w:t>
      </w:r>
    </w:p>
    <w:p>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温州市中医院</w:t>
      </w:r>
    </w:p>
    <w:p>
      <w:pPr>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乙方</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pacing w:after="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乙方受甲方委托承揽甲方</w:t>
      </w:r>
      <w:r>
        <w:rPr>
          <w:rFonts w:hint="eastAsia" w:ascii="宋体" w:hAnsi="宋体" w:eastAsia="宋体" w:cs="宋体"/>
          <w:color w:val="auto"/>
          <w:sz w:val="24"/>
          <w:szCs w:val="24"/>
          <w:lang w:val="en-US" w:eastAsia="zh-CN"/>
        </w:rPr>
        <w:t>六虹桥院区楼控</w:t>
      </w:r>
      <w:r>
        <w:rPr>
          <w:rFonts w:hint="eastAsia" w:ascii="宋体" w:hAnsi="宋体" w:eastAsia="宋体" w:cs="宋体"/>
          <w:color w:val="auto"/>
          <w:sz w:val="24"/>
          <w:szCs w:val="24"/>
        </w:rPr>
        <w:t>系统设备的</w:t>
      </w:r>
      <w:r>
        <w:rPr>
          <w:rFonts w:hint="eastAsia" w:ascii="宋体" w:hAnsi="宋体" w:eastAsia="宋体" w:cs="宋体"/>
          <w:color w:val="auto"/>
          <w:sz w:val="24"/>
          <w:szCs w:val="24"/>
          <w:lang w:val="en-US" w:eastAsia="zh-CN"/>
        </w:rPr>
        <w:t>维修维保</w:t>
      </w:r>
      <w:r>
        <w:rPr>
          <w:rFonts w:hint="eastAsia" w:ascii="宋体" w:hAnsi="宋体" w:eastAsia="宋体" w:cs="宋体"/>
          <w:color w:val="auto"/>
          <w:sz w:val="24"/>
          <w:szCs w:val="24"/>
        </w:rPr>
        <w:t>，以确保整个系统的稳定可靠运行。根据甲方有关要求，依据国家相关的法律、法规、综合本项目的具体情况，明确甲乙双方的权利和义务，经甲乙双方协商一致，特签订</w:t>
      </w: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rPr>
        <w:t>合同如下：</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一、</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概况</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名称：</w:t>
      </w:r>
      <w:r>
        <w:rPr>
          <w:rFonts w:hint="eastAsia" w:ascii="新宋体" w:hAnsi="新宋体" w:eastAsia="新宋体"/>
          <w:color w:val="auto"/>
          <w:sz w:val="24"/>
          <w:szCs w:val="24"/>
          <w:highlight w:val="none"/>
          <w:u w:val="none"/>
          <w:lang w:eastAsia="zh-CN"/>
        </w:rPr>
        <w:t>温州市中医院六虹桥院区楼控系统维修维保项目</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项目地址：</w:t>
      </w:r>
      <w:r>
        <w:rPr>
          <w:rFonts w:hint="eastAsia" w:ascii="宋体" w:hAnsi="宋体" w:eastAsia="宋体" w:cs="宋体"/>
          <w:color w:val="auto"/>
          <w:sz w:val="24"/>
          <w:szCs w:val="24"/>
          <w:lang w:eastAsia="zh-CN"/>
        </w:rPr>
        <w:t>温州市</w:t>
      </w:r>
      <w:r>
        <w:rPr>
          <w:rFonts w:hint="eastAsia" w:ascii="宋体" w:hAnsi="宋体" w:cs="宋体"/>
          <w:color w:val="auto"/>
          <w:sz w:val="24"/>
          <w:szCs w:val="24"/>
          <w:lang w:val="en-US" w:eastAsia="zh-CN"/>
        </w:rPr>
        <w:t>鹿城区南汇街道</w:t>
      </w:r>
      <w:r>
        <w:rPr>
          <w:rFonts w:hint="eastAsia" w:ascii="宋体" w:hAnsi="宋体" w:eastAsia="宋体" w:cs="宋体"/>
          <w:color w:val="auto"/>
          <w:sz w:val="24"/>
          <w:szCs w:val="24"/>
          <w:lang w:eastAsia="zh-CN"/>
        </w:rPr>
        <w:t>蛟尾路</w:t>
      </w:r>
      <w:r>
        <w:rPr>
          <w:rFonts w:hint="eastAsia" w:ascii="宋体" w:hAnsi="宋体" w:eastAsia="宋体" w:cs="宋体"/>
          <w:color w:val="auto"/>
          <w:sz w:val="24"/>
          <w:szCs w:val="24"/>
          <w:lang w:val="en-US" w:eastAsia="zh-CN"/>
        </w:rPr>
        <w:t>9号</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rPr>
        <w:t>服务性质：系统</w:t>
      </w:r>
      <w:r>
        <w:rPr>
          <w:rFonts w:hint="eastAsia" w:ascii="宋体" w:hAnsi="宋体" w:eastAsia="宋体" w:cs="宋体"/>
          <w:color w:val="auto"/>
          <w:sz w:val="24"/>
          <w:szCs w:val="24"/>
          <w:lang w:val="en-US" w:eastAsia="zh-CN"/>
        </w:rPr>
        <w:t>维修维保</w:t>
      </w:r>
      <w:r>
        <w:rPr>
          <w:rFonts w:hint="eastAsia" w:ascii="宋体" w:hAnsi="宋体" w:eastAsia="宋体" w:cs="宋体"/>
          <w:color w:val="auto"/>
          <w:sz w:val="24"/>
          <w:szCs w:val="24"/>
        </w:rPr>
        <w:t>与技术支持</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sz w:val="24"/>
          <w:szCs w:val="24"/>
        </w:rPr>
        <w:t>服务范围：</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(一)</w:t>
      </w:r>
      <w:r>
        <w:rPr>
          <w:rFonts w:hint="eastAsia" w:ascii="宋体" w:hAnsi="宋体" w:eastAsia="宋体" w:cs="宋体"/>
          <w:color w:val="auto"/>
          <w:sz w:val="24"/>
          <w:szCs w:val="24"/>
        </w:rPr>
        <w:t>系统中设备故障的排除</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sz w:val="24"/>
          <w:szCs w:val="24"/>
        </w:rPr>
        <w:t>系统中设备损坏后的维修和更换</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(三)</w:t>
      </w:r>
      <w:r>
        <w:rPr>
          <w:rFonts w:hint="eastAsia" w:ascii="宋体" w:hAnsi="宋体" w:eastAsia="宋体" w:cs="宋体"/>
          <w:color w:val="auto"/>
          <w:sz w:val="24"/>
          <w:szCs w:val="24"/>
        </w:rPr>
        <w:t>系统线缆检查和维护</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sz w:val="24"/>
          <w:szCs w:val="24"/>
        </w:rPr>
        <w:t>系统改造和升级的建议</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(五)</w:t>
      </w:r>
      <w:r>
        <w:rPr>
          <w:rFonts w:hint="eastAsia" w:ascii="宋体" w:hAnsi="宋体" w:eastAsia="宋体" w:cs="宋体"/>
          <w:color w:val="auto"/>
          <w:sz w:val="24"/>
          <w:szCs w:val="24"/>
        </w:rPr>
        <w:t>用户操作人员的培训</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(六)</w:t>
      </w:r>
      <w:r>
        <w:rPr>
          <w:rFonts w:hint="eastAsia" w:ascii="宋体" w:hAnsi="宋体" w:eastAsia="宋体" w:cs="宋体"/>
          <w:color w:val="auto"/>
          <w:sz w:val="24"/>
          <w:szCs w:val="24"/>
        </w:rPr>
        <w:t>每月一次对系统设备进行保养和检查，及紧急故障的处理工作，确保整个系统的正常运行。</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sz w:val="24"/>
          <w:szCs w:val="24"/>
        </w:rPr>
        <w:t>甲乙双方的责任和义务</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rPr>
        <w:t>甲方的权利和义务</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A.</w:t>
      </w:r>
      <w:r>
        <w:rPr>
          <w:rFonts w:hint="eastAsia" w:ascii="宋体" w:hAnsi="宋体" w:eastAsia="宋体" w:cs="宋体"/>
          <w:color w:val="auto"/>
          <w:sz w:val="24"/>
          <w:szCs w:val="24"/>
        </w:rPr>
        <w:t>甲方发现系统有异常情况出现后，应及时通知乙方并说明详细故障现象。以便于乙方做相应准备。</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B.</w:t>
      </w:r>
      <w:r>
        <w:rPr>
          <w:rFonts w:hint="eastAsia" w:ascii="宋体" w:hAnsi="宋体" w:eastAsia="宋体" w:cs="宋体"/>
          <w:color w:val="auto"/>
          <w:sz w:val="24"/>
          <w:szCs w:val="24"/>
        </w:rPr>
        <w:t>乙方在对系统进行维修及保养过程中，甲方为乙方提供必要的协调帮助和便利设施。维修完毕后，甲方及时派人进行检查和验收并在维修单上签字确认。</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C.</w:t>
      </w:r>
      <w:r>
        <w:rPr>
          <w:rFonts w:hint="eastAsia" w:ascii="宋体" w:hAnsi="宋体" w:eastAsia="宋体" w:cs="宋体"/>
          <w:color w:val="auto"/>
          <w:sz w:val="24"/>
          <w:szCs w:val="24"/>
        </w:rPr>
        <w:t>维修保养过程中，甲方应给予乙方必要的协助工作，负责协调处理与其它部门以及其它工种的配合事宜。</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D.</w:t>
      </w:r>
      <w:r>
        <w:rPr>
          <w:rFonts w:hint="eastAsia" w:ascii="宋体" w:hAnsi="宋体" w:eastAsia="宋体" w:cs="宋体"/>
          <w:color w:val="auto"/>
          <w:sz w:val="24"/>
          <w:szCs w:val="24"/>
        </w:rPr>
        <w:t>甲方应根据合同条款及时支付乙方相应的维护保养费用。</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rPr>
        <w:t>乙方的权利和义务</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E.</w:t>
      </w:r>
      <w:r>
        <w:rPr>
          <w:rFonts w:hint="eastAsia" w:ascii="宋体" w:hAnsi="宋体" w:eastAsia="宋体" w:cs="宋体"/>
          <w:color w:val="auto"/>
          <w:sz w:val="24"/>
          <w:szCs w:val="24"/>
        </w:rPr>
        <w:t>为系统正常运转提供技术支持和保障，确保系统的正常稳定运转。</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F.</w:t>
      </w:r>
      <w:r>
        <w:rPr>
          <w:rFonts w:hint="eastAsia" w:ascii="宋体" w:hAnsi="宋体" w:eastAsia="宋体" w:cs="宋体"/>
          <w:color w:val="auto"/>
          <w:sz w:val="24"/>
          <w:szCs w:val="24"/>
        </w:rPr>
        <w:t>在系统设备正常使用状态下，乙方定时到甲方现场进行设备的例行保养和检修，每月一次。</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G.</w:t>
      </w:r>
      <w:r>
        <w:rPr>
          <w:rFonts w:hint="eastAsia" w:ascii="宋体" w:hAnsi="宋体" w:eastAsia="宋体" w:cs="宋体"/>
          <w:color w:val="auto"/>
          <w:sz w:val="24"/>
          <w:szCs w:val="24"/>
        </w:rPr>
        <w:t>系统在平时使用过程中出现故障，乙方应在接到甲方正式通知后及时响应，响应时间为</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小时内到达现场进行处理（节假日</w:t>
      </w:r>
      <w:r>
        <w:rPr>
          <w:rFonts w:hint="eastAsia" w:ascii="宋体" w:hAnsi="宋体" w:cs="宋体"/>
          <w:color w:val="auto"/>
          <w:sz w:val="24"/>
          <w:szCs w:val="24"/>
          <w:lang w:val="en-US" w:eastAsia="zh-CN"/>
        </w:rPr>
        <w:t>可延迟至6小时</w:t>
      </w:r>
      <w:r>
        <w:rPr>
          <w:rFonts w:hint="eastAsia" w:ascii="宋体" w:hAnsi="宋体" w:eastAsia="宋体" w:cs="宋体"/>
          <w:color w:val="auto"/>
          <w:sz w:val="24"/>
          <w:szCs w:val="24"/>
        </w:rPr>
        <w:t>）。</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H.</w:t>
      </w:r>
      <w:r>
        <w:rPr>
          <w:rFonts w:hint="eastAsia" w:ascii="宋体" w:hAnsi="宋体" w:eastAsia="宋体" w:cs="宋体"/>
          <w:color w:val="auto"/>
          <w:sz w:val="24"/>
          <w:szCs w:val="24"/>
        </w:rPr>
        <w:t>如出现设备维修</w:t>
      </w:r>
      <w:r>
        <w:rPr>
          <w:rFonts w:hint="eastAsia" w:ascii="宋体" w:hAnsi="宋体" w:cs="宋体"/>
          <w:color w:val="auto"/>
          <w:sz w:val="24"/>
          <w:szCs w:val="24"/>
          <w:lang w:val="en-US" w:eastAsia="zh-CN"/>
        </w:rPr>
        <w:t>需要</w:t>
      </w:r>
      <w:r>
        <w:rPr>
          <w:rFonts w:hint="eastAsia" w:ascii="宋体" w:hAnsi="宋体" w:eastAsia="宋体" w:cs="宋体"/>
          <w:color w:val="auto"/>
          <w:sz w:val="24"/>
          <w:szCs w:val="24"/>
        </w:rPr>
        <w:t>更换零部件</w:t>
      </w:r>
      <w:r>
        <w:rPr>
          <w:rFonts w:hint="eastAsia" w:ascii="宋体" w:hAnsi="宋体" w:cs="宋体"/>
          <w:color w:val="auto"/>
          <w:sz w:val="24"/>
          <w:szCs w:val="24"/>
          <w:lang w:val="en-US" w:eastAsia="zh-CN"/>
        </w:rPr>
        <w:t>时</w:t>
      </w:r>
      <w:r>
        <w:rPr>
          <w:rFonts w:hint="eastAsia" w:ascii="宋体" w:hAnsi="宋体" w:eastAsia="宋体" w:cs="宋体"/>
          <w:color w:val="auto"/>
          <w:sz w:val="24"/>
          <w:szCs w:val="24"/>
        </w:rPr>
        <w:t>，更换零部件及维修的相关费用由乙方支付；若设备无法维修而需重新更换设备时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维保内设备</w:t>
      </w:r>
      <w:r>
        <w:rPr>
          <w:rFonts w:hint="eastAsia" w:ascii="宋体" w:hAnsi="宋体" w:eastAsia="宋体" w:cs="宋体"/>
          <w:color w:val="auto"/>
          <w:sz w:val="24"/>
          <w:szCs w:val="24"/>
        </w:rPr>
        <w:t>费用由乙方</w:t>
      </w:r>
      <w:r>
        <w:rPr>
          <w:rFonts w:hint="eastAsia" w:ascii="宋体" w:hAnsi="宋体" w:eastAsia="宋体" w:cs="宋体"/>
          <w:color w:val="auto"/>
          <w:sz w:val="24"/>
          <w:szCs w:val="24"/>
          <w:lang w:val="en-US" w:eastAsia="zh-CN"/>
        </w:rPr>
        <w:t>支付</w:t>
      </w:r>
      <w:r>
        <w:rPr>
          <w:rFonts w:hint="eastAsia" w:ascii="宋体" w:hAnsi="宋体" w:eastAsia="宋体" w:cs="宋体"/>
          <w:color w:val="auto"/>
          <w:sz w:val="24"/>
          <w:szCs w:val="24"/>
        </w:rPr>
        <w:t>免费安装调试。</w:t>
      </w:r>
      <w:r>
        <w:rPr>
          <w:rFonts w:hint="eastAsia" w:ascii="宋体" w:hAnsi="宋体" w:eastAsia="宋体" w:cs="宋体"/>
          <w:color w:val="auto"/>
          <w:sz w:val="24"/>
          <w:szCs w:val="24"/>
          <w:lang w:val="en-US" w:eastAsia="zh-CN"/>
        </w:rPr>
        <w:t>维保外设备</w:t>
      </w:r>
      <w:r>
        <w:rPr>
          <w:rFonts w:hint="eastAsia" w:ascii="宋体" w:hAnsi="宋体" w:eastAsia="宋体" w:cs="宋体"/>
          <w:color w:val="auto"/>
          <w:sz w:val="24"/>
          <w:szCs w:val="24"/>
        </w:rPr>
        <w:t>由乙方向甲方建议更换，甲方支付设备成本费，乙方免费安装调试。</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三、</w:t>
      </w:r>
      <w:r>
        <w:rPr>
          <w:rFonts w:hint="eastAsia" w:ascii="宋体" w:hAnsi="宋体" w:eastAsia="宋体" w:cs="宋体"/>
          <w:color w:val="auto"/>
          <w:sz w:val="24"/>
          <w:szCs w:val="24"/>
          <w:lang w:val="en-US" w:eastAsia="zh-CN"/>
        </w:rPr>
        <w:t>服务期限</w:t>
      </w:r>
    </w:p>
    <w:p>
      <w:pPr>
        <w:pStyle w:val="20"/>
        <w:keepNext w:val="0"/>
        <w:keepLines w:val="0"/>
        <w:pageBreakBefore w:val="0"/>
        <w:kinsoku/>
        <w:wordWrap/>
        <w:overflowPunct/>
        <w:topLinePunct w:val="0"/>
        <w:autoSpaceDE/>
        <w:autoSpaceDN/>
        <w:bidi w:val="0"/>
        <w:adjustRightInd/>
        <w:spacing w:after="0" w:line="360" w:lineRule="auto"/>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服务期限</w:t>
      </w:r>
      <w:r>
        <w:rPr>
          <w:rFonts w:hint="eastAsia" w:ascii="宋体" w:hAnsi="宋体" w:eastAsia="宋体" w:cs="宋体"/>
          <w:color w:val="auto"/>
          <w:sz w:val="24"/>
          <w:szCs w:val="24"/>
        </w:rPr>
        <w:t>：   年   月   日至   年   月   日</w:t>
      </w:r>
      <w:r>
        <w:rPr>
          <w:rFonts w:hint="eastAsia" w:ascii="宋体" w:hAnsi="宋体" w:cs="宋体"/>
          <w:color w:val="auto"/>
          <w:sz w:val="24"/>
          <w:szCs w:val="24"/>
          <w:lang w:eastAsia="zh-CN"/>
        </w:rPr>
        <w:t>。</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四、</w:t>
      </w:r>
      <w:r>
        <w:rPr>
          <w:rFonts w:hint="eastAsia" w:ascii="宋体" w:hAnsi="宋体" w:eastAsia="宋体" w:cs="宋体"/>
          <w:color w:val="auto"/>
          <w:sz w:val="24"/>
          <w:szCs w:val="24"/>
        </w:rPr>
        <w:t>维护保养项目</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default" w:ascii="宋体" w:hAnsi="宋体" w:cs="宋体"/>
          <w:color w:val="auto"/>
          <w:sz w:val="24"/>
          <w:szCs w:val="24"/>
          <w:lang w:val="en-US" w:eastAsia="zh-CN"/>
        </w:rPr>
      </w:pPr>
      <w:r>
        <w:rPr>
          <w:rFonts w:hint="eastAsia" w:ascii="宋体" w:hAnsi="宋体" w:eastAsia="宋体" w:cs="宋体"/>
          <w:color w:val="auto"/>
          <w:sz w:val="24"/>
          <w:szCs w:val="24"/>
          <w:lang w:val="en-US" w:eastAsia="zh-CN"/>
        </w:rPr>
        <w:t>见采购文件</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五、付款方式</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(一)</w:t>
      </w:r>
      <w:r>
        <w:rPr>
          <w:rFonts w:hint="eastAsia" w:ascii="宋体" w:hAnsi="宋体" w:eastAsia="宋体" w:cs="宋体"/>
          <w:color w:val="auto"/>
          <w:sz w:val="24"/>
          <w:szCs w:val="24"/>
        </w:rPr>
        <w:t>年服务费为人民币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元整，为全年乙方提供服务的维修</w:t>
      </w:r>
      <w:r>
        <w:rPr>
          <w:rFonts w:hint="eastAsia" w:ascii="宋体" w:hAnsi="宋体" w:cs="宋体"/>
          <w:color w:val="auto"/>
          <w:sz w:val="24"/>
          <w:szCs w:val="24"/>
          <w:lang w:eastAsia="zh-CN"/>
        </w:rPr>
        <w:t>。</w:t>
      </w:r>
    </w:p>
    <w:p>
      <w:pPr>
        <w:pStyle w:val="4"/>
        <w:numPr>
          <w:ilvl w:val="0"/>
          <w:numId w:val="0"/>
        </w:num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sz w:val="24"/>
          <w:szCs w:val="24"/>
          <w:lang w:val="en-US" w:eastAsia="zh-CN"/>
        </w:rPr>
        <w:t>先做后付，本合同签定之日起6个月后，</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向</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支付合同总价的50%，服务期限届满</w:t>
      </w:r>
      <w:r>
        <w:rPr>
          <w:rFonts w:hint="eastAsia" w:ascii="宋体" w:hAnsi="宋体" w:cs="宋体"/>
          <w:color w:val="auto"/>
          <w:sz w:val="24"/>
          <w:szCs w:val="24"/>
          <w:lang w:val="en-US" w:eastAsia="zh-CN"/>
        </w:rPr>
        <w:t>后</w:t>
      </w:r>
      <w:r>
        <w:rPr>
          <w:rFonts w:hint="eastAsia" w:ascii="宋体" w:hAnsi="宋体" w:eastAsia="宋体" w:cs="宋体"/>
          <w:color w:val="auto"/>
          <w:sz w:val="24"/>
          <w:szCs w:val="24"/>
          <w:lang w:val="en-US" w:eastAsia="zh-CN"/>
        </w:rPr>
        <w:t>30日内支付剩余合同总价的50%。</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六、</w:t>
      </w:r>
      <w:r>
        <w:rPr>
          <w:rFonts w:hint="eastAsia" w:ascii="宋体" w:hAnsi="宋体" w:eastAsia="宋体" w:cs="宋体"/>
          <w:color w:val="auto"/>
          <w:sz w:val="24"/>
          <w:szCs w:val="24"/>
        </w:rPr>
        <w:t>违约责任</w:t>
      </w:r>
    </w:p>
    <w:p>
      <w:pPr>
        <w:pStyle w:val="20"/>
        <w:keepNext w:val="0"/>
        <w:keepLines w:val="0"/>
        <w:pageBreakBefore w:val="0"/>
        <w:kinsoku/>
        <w:wordWrap/>
        <w:overflowPunct/>
        <w:topLinePunct w:val="0"/>
        <w:autoSpaceDE/>
        <w:autoSpaceDN/>
        <w:bidi w:val="0"/>
        <w:adjustRightInd/>
        <w:spacing w:after="0" w:line="360" w:lineRule="auto"/>
        <w:ind w:left="0" w:leftChars="0" w:firstLine="0" w:firstLineChars="0"/>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 xml:space="preserve">1.若乙方未及时履行合同内容或者未按照合同约定履行合同且整改不到位的，甲方有权要求乙方支付合同总金额10%的违约金，给甲方造成损失的，还应当赔偿损失，同时甲方有权视情况终止合同，并要求乙方返还已支付的合同款项。 </w:t>
      </w:r>
    </w:p>
    <w:p>
      <w:pPr>
        <w:pStyle w:val="20"/>
        <w:keepNext w:val="0"/>
        <w:keepLines w:val="0"/>
        <w:pageBreakBefore w:val="0"/>
        <w:kinsoku/>
        <w:wordWrap/>
        <w:overflowPunct/>
        <w:topLinePunct w:val="0"/>
        <w:autoSpaceDE/>
        <w:autoSpaceDN/>
        <w:bidi w:val="0"/>
        <w:adjustRightInd/>
        <w:spacing w:after="0" w:line="360" w:lineRule="auto"/>
        <w:ind w:left="0" w:leftChars="0" w:firstLine="0" w:firstLineChars="0"/>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甲乙各方如中途无故终止或不履行合同，违约方应赔偿对方所有的经济损失；甲方如不按合同规定付款，乙方有权终止</w:t>
      </w:r>
      <w:r>
        <w:rPr>
          <w:rFonts w:hint="eastAsia" w:ascii="宋体" w:hAnsi="宋体" w:cs="宋体"/>
          <w:color w:val="auto"/>
          <w:sz w:val="24"/>
          <w:szCs w:val="24"/>
          <w:lang w:val="en-US" w:eastAsia="zh-CN"/>
        </w:rPr>
        <w:t>对</w:t>
      </w:r>
      <w:r>
        <w:rPr>
          <w:rFonts w:hint="eastAsia" w:ascii="宋体" w:hAnsi="宋体" w:eastAsia="宋体" w:cs="宋体"/>
          <w:color w:val="auto"/>
          <w:sz w:val="24"/>
          <w:szCs w:val="24"/>
        </w:rPr>
        <w:t>设备</w:t>
      </w:r>
      <w:r>
        <w:rPr>
          <w:rFonts w:hint="eastAsia" w:ascii="宋体" w:hAnsi="宋体" w:cs="宋体"/>
          <w:color w:val="auto"/>
          <w:sz w:val="24"/>
          <w:szCs w:val="24"/>
          <w:lang w:val="en-US" w:eastAsia="zh-CN"/>
        </w:rPr>
        <w:t>的维保</w:t>
      </w:r>
      <w:r>
        <w:rPr>
          <w:rFonts w:hint="eastAsia" w:ascii="宋体" w:hAnsi="宋体" w:cs="宋体"/>
          <w:color w:val="auto"/>
          <w:sz w:val="24"/>
          <w:szCs w:val="24"/>
          <w:lang w:eastAsia="zh-CN"/>
        </w:rPr>
        <w:t>。</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七、</w:t>
      </w:r>
      <w:r>
        <w:rPr>
          <w:rFonts w:hint="eastAsia" w:ascii="宋体" w:hAnsi="宋体" w:eastAsia="宋体" w:cs="宋体"/>
          <w:color w:val="auto"/>
          <w:sz w:val="24"/>
          <w:szCs w:val="24"/>
        </w:rPr>
        <w:t>合同争议</w:t>
      </w:r>
    </w:p>
    <w:p>
      <w:pPr>
        <w:pStyle w:val="20"/>
        <w:keepNext w:val="0"/>
        <w:keepLines w:val="0"/>
        <w:pageBreakBefore w:val="0"/>
        <w:kinsoku/>
        <w:wordWrap/>
        <w:overflowPunct/>
        <w:topLinePunct w:val="0"/>
        <w:autoSpaceDE/>
        <w:autoSpaceDN/>
        <w:bidi w:val="0"/>
        <w:adjustRightInd/>
        <w:spacing w:after="0"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本合同在执行过程中如发生争执，双方协商解决，协商不成可</w:t>
      </w:r>
      <w:r>
        <w:rPr>
          <w:rFonts w:hint="eastAsia" w:ascii="宋体" w:hAnsi="宋体" w:cs="宋体"/>
          <w:color w:val="auto"/>
          <w:sz w:val="24"/>
          <w:szCs w:val="24"/>
          <w:lang w:val="en-US" w:eastAsia="zh-CN"/>
        </w:rPr>
        <w:t>向甲方所在地人民法院起诉</w:t>
      </w:r>
      <w:r>
        <w:rPr>
          <w:rFonts w:hint="eastAsia" w:ascii="宋体" w:hAnsi="宋体" w:eastAsia="宋体" w:cs="宋体"/>
          <w:color w:val="auto"/>
          <w:sz w:val="24"/>
          <w:szCs w:val="24"/>
        </w:rPr>
        <w:t>；</w:t>
      </w:r>
    </w:p>
    <w:p>
      <w:pPr>
        <w:pStyle w:val="20"/>
        <w:keepNext w:val="0"/>
        <w:keepLines w:val="0"/>
        <w:pageBreakBefore w:val="0"/>
        <w:numPr>
          <w:ilvl w:val="0"/>
          <w:numId w:val="0"/>
        </w:numPr>
        <w:kinsoku/>
        <w:wordWrap/>
        <w:overflowPunct/>
        <w:topLinePunct w:val="0"/>
        <w:autoSpaceDE/>
        <w:autoSpaceDN/>
        <w:bidi w:val="0"/>
        <w:adjustRightInd/>
        <w:spacing w:after="0" w:line="360" w:lineRule="auto"/>
        <w:jc w:val="left"/>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八、</w:t>
      </w:r>
      <w:r>
        <w:rPr>
          <w:rFonts w:hint="eastAsia" w:ascii="宋体" w:hAnsi="宋体" w:eastAsia="宋体" w:cs="宋体"/>
          <w:color w:val="auto"/>
          <w:sz w:val="24"/>
          <w:szCs w:val="24"/>
        </w:rPr>
        <w:t>本合同一式四份，双方各执二份；</w:t>
      </w: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甲方(章)：</w:t>
      </w:r>
      <w:r>
        <w:rPr>
          <w:rFonts w:hint="eastAsia" w:ascii="宋体" w:hAnsi="宋体" w:eastAsia="宋体" w:cs="宋体"/>
          <w:color w:val="auto"/>
          <w:sz w:val="24"/>
          <w:szCs w:val="24"/>
          <w:lang w:eastAsia="zh-CN"/>
        </w:rPr>
        <w:t>温州市中医院</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乙方(章)：</w:t>
      </w: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代表人：                                 代表人： </w:t>
      </w: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val="0"/>
        <w:spacing w:after="0" w:line="360" w:lineRule="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val="0"/>
        <w:spacing w:after="0" w:line="360" w:lineRule="auto"/>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签订日期</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  月   日</w:t>
      </w:r>
    </w:p>
    <w:p>
      <w:pPr>
        <w:spacing w:line="460" w:lineRule="exact"/>
        <w:ind w:firstLine="4200" w:firstLineChars="2000"/>
        <w:rPr>
          <w:rFonts w:hint="eastAsia"/>
          <w:color w:val="auto"/>
        </w:rPr>
      </w:pPr>
    </w:p>
    <w:sectPr>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N2FlZGQyNmExMDc1YTc1OWIxYmFlNmE1NTFhMT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BDA4362"/>
    <w:rsid w:val="0F427144"/>
    <w:rsid w:val="0F9C6A6C"/>
    <w:rsid w:val="0FFF40C5"/>
    <w:rsid w:val="107734BE"/>
    <w:rsid w:val="1124087B"/>
    <w:rsid w:val="15017D68"/>
    <w:rsid w:val="154327F2"/>
    <w:rsid w:val="15F0193F"/>
    <w:rsid w:val="16586A57"/>
    <w:rsid w:val="16F2475C"/>
    <w:rsid w:val="1E612507"/>
    <w:rsid w:val="203F5CE6"/>
    <w:rsid w:val="253F05F7"/>
    <w:rsid w:val="26614AE7"/>
    <w:rsid w:val="2C0B329E"/>
    <w:rsid w:val="2C2438C8"/>
    <w:rsid w:val="2DB069E8"/>
    <w:rsid w:val="2EE23DA1"/>
    <w:rsid w:val="2FFD1365"/>
    <w:rsid w:val="33F15215"/>
    <w:rsid w:val="345A29A7"/>
    <w:rsid w:val="35B42E80"/>
    <w:rsid w:val="38620F4A"/>
    <w:rsid w:val="3AA307AA"/>
    <w:rsid w:val="3B8853D8"/>
    <w:rsid w:val="3D4A148F"/>
    <w:rsid w:val="3FFF3ABB"/>
    <w:rsid w:val="42442951"/>
    <w:rsid w:val="435E173B"/>
    <w:rsid w:val="442D7AA8"/>
    <w:rsid w:val="4B9E1807"/>
    <w:rsid w:val="4BB26B7D"/>
    <w:rsid w:val="4C5752EB"/>
    <w:rsid w:val="50250266"/>
    <w:rsid w:val="55F33501"/>
    <w:rsid w:val="57A36574"/>
    <w:rsid w:val="58D72375"/>
    <w:rsid w:val="58DD5B64"/>
    <w:rsid w:val="591E1A6A"/>
    <w:rsid w:val="5DAF6DF6"/>
    <w:rsid w:val="5F3D5DBA"/>
    <w:rsid w:val="62656CCB"/>
    <w:rsid w:val="63750765"/>
    <w:rsid w:val="642B0A6B"/>
    <w:rsid w:val="67157B94"/>
    <w:rsid w:val="68C80848"/>
    <w:rsid w:val="6A8B2F63"/>
    <w:rsid w:val="724D0AFE"/>
    <w:rsid w:val="72AB2F31"/>
    <w:rsid w:val="72E83474"/>
    <w:rsid w:val="72F62F44"/>
    <w:rsid w:val="73F11CC8"/>
    <w:rsid w:val="74CA388D"/>
    <w:rsid w:val="75304775"/>
    <w:rsid w:val="78362761"/>
    <w:rsid w:val="79F966D5"/>
    <w:rsid w:val="7DBF4FA6"/>
    <w:rsid w:val="7DD2211B"/>
    <w:rsid w:val="7E036272"/>
    <w:rsid w:val="7E7A2C7B"/>
    <w:rsid w:val="7F0817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840"/>
      </w:tabs>
      <w:adjustRightInd w:val="0"/>
      <w:snapToGrid w:val="0"/>
      <w:spacing w:line="360" w:lineRule="auto"/>
      <w:outlineLvl w:val="0"/>
    </w:pPr>
    <w:rPr>
      <w:rFonts w:ascii="宋体"/>
      <w:b/>
      <w:kern w:val="44"/>
      <w:sz w:val="24"/>
    </w:rPr>
  </w:style>
  <w:style w:type="paragraph" w:styleId="3">
    <w:name w:val="heading 4"/>
    <w:basedOn w:val="1"/>
    <w:next w:val="1"/>
    <w:qFormat/>
    <w:uiPriority w:val="0"/>
    <w:pPr>
      <w:keepNext/>
      <w:keepLines/>
      <w:spacing w:line="540" w:lineRule="atLeast"/>
      <w:outlineLvl w:val="3"/>
    </w:pPr>
    <w:rPr>
      <w:sz w:val="28"/>
      <w:szCs w:val="28"/>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rPr>
      <w:szCs w:val="20"/>
    </w:rPr>
  </w:style>
  <w:style w:type="paragraph" w:styleId="5">
    <w:name w:val="Body Text"/>
    <w:basedOn w:val="1"/>
    <w:next w:val="1"/>
    <w:autoRedefine/>
    <w:qFormat/>
    <w:uiPriority w:val="0"/>
    <w:pPr>
      <w:spacing w:after="120" w:afterLines="0"/>
    </w:pPr>
  </w:style>
  <w:style w:type="paragraph" w:styleId="6">
    <w:name w:val="Body Text Indent"/>
    <w:basedOn w:val="1"/>
    <w:autoRedefine/>
    <w:qFormat/>
    <w:uiPriority w:val="0"/>
    <w:pPr>
      <w:ind w:left="480" w:hanging="480" w:hangingChars="200"/>
    </w:pPr>
    <w:rPr>
      <w:rFonts w:ascii="Times New Roman" w:hAnsi="Times New Roman" w:eastAsia="宋体" w:cs="Times New Roman"/>
      <w:sz w:val="24"/>
      <w:szCs w:val="24"/>
    </w:rPr>
  </w:style>
  <w:style w:type="paragraph" w:styleId="7">
    <w:name w:val="Plain Text"/>
    <w:basedOn w:val="1"/>
    <w:autoRedefine/>
    <w:qFormat/>
    <w:uiPriority w:val="0"/>
    <w:pPr>
      <w:spacing w:beforeLines="50" w:afterLines="50" w:line="400" w:lineRule="exact"/>
    </w:pPr>
    <w:rPr>
      <w:rFonts w:ascii="宋体" w:hAnsi="Courier New"/>
      <w:sz w:val="24"/>
    </w:r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6"/>
    <w:basedOn w:val="1"/>
    <w:next w:val="1"/>
    <w:autoRedefine/>
    <w:qFormat/>
    <w:uiPriority w:val="0"/>
    <w:pPr>
      <w:ind w:left="2100" w:leftChars="1000"/>
    </w:pPr>
  </w:style>
  <w:style w:type="paragraph" w:styleId="11">
    <w:name w:val="Body Text First Indent"/>
    <w:basedOn w:val="5"/>
    <w:next w:val="10"/>
    <w:autoRedefine/>
    <w:semiHidden/>
    <w:unhideWhenUsed/>
    <w:qFormat/>
    <w:uiPriority w:val="99"/>
    <w:pPr>
      <w:ind w:firstLine="420" w:firstLineChars="100"/>
    </w:pPr>
    <w:rPr>
      <w:rFonts w:asciiTheme="minorHAnsi" w:hAnsiTheme="minorHAnsi" w:eastAsiaTheme="minorEastAsia" w:cstheme="minorBidi"/>
      <w:szCs w:val="22"/>
    </w:rPr>
  </w:style>
  <w:style w:type="table" w:styleId="13">
    <w:name w:val="Table Grid"/>
    <w:basedOn w:val="12"/>
    <w:autoRedefine/>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Text1I"/>
    <w:basedOn w:val="16"/>
    <w:autoRedefine/>
    <w:qFormat/>
    <w:uiPriority w:val="0"/>
    <w:pPr>
      <w:ind w:firstLine="420" w:firstLineChars="100"/>
    </w:pPr>
  </w:style>
  <w:style w:type="paragraph" w:customStyle="1" w:styleId="16">
    <w:name w:val="BodyText"/>
    <w:basedOn w:val="1"/>
    <w:autoRedefine/>
    <w:qFormat/>
    <w:uiPriority w:val="0"/>
    <w:pPr>
      <w:spacing w:after="120"/>
    </w:pPr>
  </w:style>
  <w:style w:type="paragraph" w:customStyle="1" w:styleId="17">
    <w:name w:val="表格文字"/>
    <w:basedOn w:val="1"/>
    <w:next w:val="5"/>
    <w:autoRedefine/>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18">
    <w:name w:val="页眉 Char"/>
    <w:basedOn w:val="14"/>
    <w:link w:val="9"/>
    <w:autoRedefine/>
    <w:qFormat/>
    <w:uiPriority w:val="0"/>
    <w:rPr>
      <w:kern w:val="2"/>
      <w:sz w:val="18"/>
      <w:szCs w:val="18"/>
    </w:rPr>
  </w:style>
  <w:style w:type="character" w:customStyle="1" w:styleId="19">
    <w:name w:val="页脚 Char"/>
    <w:basedOn w:val="14"/>
    <w:link w:val="8"/>
    <w:autoRedefine/>
    <w:qFormat/>
    <w:uiPriority w:val="0"/>
    <w:rPr>
      <w:kern w:val="2"/>
      <w:sz w:val="18"/>
      <w:szCs w:val="18"/>
    </w:rPr>
  </w:style>
  <w:style w:type="paragraph" w:styleId="20">
    <w:name w:val="List Paragraph"/>
    <w:basedOn w:val="1"/>
    <w:autoRedefine/>
    <w:qFormat/>
    <w:uiPriority w:val="0"/>
    <w:pPr>
      <w:ind w:firstLine="420" w:firstLineChars="200"/>
    </w:pPr>
    <w:rPr>
      <w:rFonts w:ascii="Calibri" w:hAnsi="Calibri"/>
      <w:szCs w:val="22"/>
    </w:rPr>
  </w:style>
  <w:style w:type="paragraph" w:customStyle="1" w:styleId="21">
    <w:name w:val="列出段落1"/>
    <w:basedOn w:val="1"/>
    <w:autoRedefine/>
    <w:qFormat/>
    <w:uiPriority w:val="0"/>
    <w:pPr>
      <w:widowControl/>
      <w:spacing w:after="160" w:line="360" w:lineRule="auto"/>
      <w:ind w:left="720"/>
      <w:contextualSpacing/>
      <w:jc w:val="left"/>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4185</Words>
  <Characters>4681</Characters>
  <Lines>17</Lines>
  <Paragraphs>4</Paragraphs>
  <TotalTime>10</TotalTime>
  <ScaleCrop>false</ScaleCrop>
  <LinksUpToDate>false</LinksUpToDate>
  <CharactersWithSpaces>4790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2019-08-15T09:42:00Z</dcterms:created>
  <dc:creator>小米</dc:creator>
  <cp:lastModifiedBy>市渔业应急处置指挥中心</cp:lastModifiedBy>
  <dcterms:modified xsi:type="dcterms:W3CDTF">2025-10-07T00:48:17Z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B971407C7F8947E1A392C42BAA229E86_13</vt:lpwstr>
  </property>
  <property fmtid="{D5CDD505-2E9C-101B-9397-08002B2CF9AE}" pid="4" name="KSOTemplateDocerSaveRecord">
    <vt:lpwstr>eyJoZGlkIjoiMDgwMDFjYmI3NDYwYjVlMjBlN2MyNjY4YTE4ZjIyZWIiLCJ1c2VySWQiOiI0MzU0NTE1NjAifQ==</vt:lpwstr>
  </property>
</Properties>
</file>