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4"/>
          <w:rFonts w:hint="eastAsia" w:asciiTheme="minorEastAsia" w:hAnsiTheme="minorEastAsia" w:eastAsiaTheme="minorEastAsia" w:cstheme="minorEastAsia"/>
          <w:b/>
          <w:bCs/>
          <w:sz w:val="32"/>
          <w:szCs w:val="32"/>
          <w:lang w:val="en-US" w:eastAsia="zh-CN"/>
        </w:rPr>
      </w:pPr>
      <w:r>
        <w:rPr>
          <w:rStyle w:val="14"/>
          <w:rFonts w:hint="eastAsia" w:asciiTheme="minorEastAsia" w:hAnsiTheme="minorEastAsia" w:eastAsiaTheme="minorEastAsia" w:cstheme="minorEastAsia"/>
          <w:b/>
          <w:bCs/>
          <w:sz w:val="36"/>
          <w:szCs w:val="36"/>
          <w:lang w:val="en-US" w:eastAsia="zh-CN"/>
        </w:rPr>
        <w:t>温州市中医院关于</w:t>
      </w:r>
      <w:r>
        <w:rPr>
          <w:rStyle w:val="14"/>
          <w:rFonts w:hint="eastAsia" w:asciiTheme="minorEastAsia" w:hAnsiTheme="minorEastAsia" w:cstheme="minorEastAsia"/>
          <w:b/>
          <w:bCs/>
          <w:sz w:val="36"/>
          <w:szCs w:val="36"/>
          <w:lang w:val="en-US" w:eastAsia="zh-CN"/>
        </w:rPr>
        <w:t>显微镜</w:t>
      </w:r>
      <w:r>
        <w:rPr>
          <w:rStyle w:val="14"/>
          <w:rFonts w:hint="eastAsia" w:asciiTheme="minorEastAsia" w:hAnsiTheme="minorEastAsia" w:eastAsiaTheme="minorEastAsia" w:cstheme="minorEastAsia"/>
          <w:b/>
          <w:bCs/>
          <w:sz w:val="36"/>
          <w:szCs w:val="36"/>
          <w:lang w:val="en-US" w:eastAsia="zh-CN"/>
        </w:rPr>
        <w:t>的招标</w:t>
      </w:r>
    </w:p>
    <w:p>
      <w:pPr>
        <w:numPr>
          <w:ilvl w:val="0"/>
          <w:numId w:val="1"/>
        </w:numPr>
        <w:jc w:val="both"/>
        <w:rPr>
          <w:rStyle w:val="14"/>
          <w:rFonts w:hint="eastAsia" w:asciiTheme="minorEastAsia" w:hAnsiTheme="minorEastAsia" w:eastAsiaTheme="minorEastAsia" w:cstheme="minorEastAsia"/>
          <w:b/>
          <w:bCs/>
          <w:sz w:val="32"/>
          <w:szCs w:val="32"/>
        </w:rPr>
      </w:pPr>
      <w:r>
        <w:rPr>
          <w:rStyle w:val="14"/>
          <w:rFonts w:hint="eastAsia" w:asciiTheme="minorEastAsia" w:hAnsiTheme="minorEastAsia" w:eastAsiaTheme="minorEastAsia" w:cstheme="minorEastAsia"/>
          <w:b/>
          <w:bCs/>
          <w:sz w:val="32"/>
          <w:szCs w:val="32"/>
        </w:rPr>
        <w:t>项目基本情况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1434"/>
        <w:gridCol w:w="1435"/>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vAlign w:val="top"/>
          </w:tcPr>
          <w:p>
            <w:p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项目名称显微镜</w:t>
            </w:r>
          </w:p>
        </w:tc>
        <w:tc>
          <w:tcPr>
            <w:tcW w:w="2869" w:type="dxa"/>
            <w:gridSpan w:val="2"/>
            <w:vAlign w:val="top"/>
          </w:tcPr>
          <w:p>
            <w:pPr>
              <w:jc w:val="both"/>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项目编号：</w:t>
            </w:r>
            <w:r>
              <w:rPr>
                <w:rFonts w:hint="eastAsia" w:asciiTheme="minorEastAsia" w:hAnsiTheme="minorEastAsia" w:cstheme="minorEastAsia"/>
                <w:color w:val="auto"/>
                <w:sz w:val="24"/>
                <w:szCs w:val="24"/>
                <w:vertAlign w:val="baseline"/>
                <w:lang w:val="en-US" w:eastAsia="zh-CN"/>
              </w:rPr>
              <w:t>2025-sb-cg-001</w:t>
            </w:r>
          </w:p>
        </w:tc>
        <w:tc>
          <w:tcPr>
            <w:tcW w:w="3440" w:type="dxa"/>
            <w:vAlign w:val="top"/>
          </w:tcPr>
          <w:p>
            <w:pPr>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项目预算总金额：8万元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tcPr>
          <w:p>
            <w:pPr>
              <w:jc w:val="both"/>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设备1：显微镜</w:t>
            </w:r>
          </w:p>
        </w:tc>
        <w:tc>
          <w:tcPr>
            <w:tcW w:w="1434" w:type="dxa"/>
          </w:tcPr>
          <w:p>
            <w:pPr>
              <w:jc w:val="left"/>
              <w:rPr>
                <w:rFonts w:hint="default"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eastAsia="zh-CN"/>
              </w:rPr>
              <w:t>数量：1</w:t>
            </w:r>
          </w:p>
        </w:tc>
        <w:tc>
          <w:tcPr>
            <w:tcW w:w="1435" w:type="dxa"/>
          </w:tcPr>
          <w:p>
            <w:pPr>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国产</w:t>
            </w:r>
          </w:p>
        </w:tc>
        <w:tc>
          <w:tcPr>
            <w:tcW w:w="3440" w:type="dxa"/>
          </w:tcPr>
          <w:p>
            <w:pPr>
              <w:jc w:val="left"/>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预算</w:t>
            </w:r>
            <w:r>
              <w:rPr>
                <w:rFonts w:hint="eastAsia" w:ascii="宋体" w:hAnsi="宋体" w:eastAsia="宋体" w:cs="宋体"/>
                <w:b w:val="0"/>
                <w:bCs w:val="0"/>
                <w:color w:val="auto"/>
                <w:sz w:val="21"/>
                <w:szCs w:val="21"/>
                <w:lang w:val="en-US" w:eastAsia="zh-CN"/>
              </w:rPr>
              <w:t>单价：8万元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4"/>
          </w:tcPr>
          <w:p>
            <w:pPr>
              <w:jc w:val="both"/>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备注：</w:t>
            </w:r>
            <w:r>
              <w:rPr>
                <w:rFonts w:hint="eastAsia" w:ascii="宋体" w:hAnsi="宋体" w:eastAsia="宋体" w:cs="宋体"/>
                <w:color w:val="auto"/>
                <w:sz w:val="21"/>
                <w:szCs w:val="21"/>
                <w:lang w:eastAsia="zh-CN"/>
              </w:rPr>
              <w:t>不</w:t>
            </w:r>
            <w:r>
              <w:rPr>
                <w:rFonts w:hint="eastAsia" w:ascii="宋体" w:hAnsi="宋体" w:eastAsia="宋体" w:cs="宋体"/>
                <w:color w:val="auto"/>
                <w:sz w:val="21"/>
                <w:szCs w:val="21"/>
                <w:lang w:val="en-US" w:eastAsia="zh-CN"/>
              </w:rPr>
              <w:t>允许进口</w:t>
            </w:r>
          </w:p>
        </w:tc>
      </w:tr>
    </w:tbl>
    <w:p>
      <w:pPr>
        <w:jc w:val="both"/>
        <w:rPr>
          <w:rFonts w:hint="eastAsia" w:asciiTheme="minorEastAsia" w:hAnsiTheme="minorEastAsia" w:eastAsiaTheme="minorEastAsia" w:cstheme="minorEastAsia"/>
          <w:b w:val="0"/>
          <w:bCs w:val="0"/>
          <w:sz w:val="24"/>
          <w:szCs w:val="24"/>
        </w:rPr>
      </w:pPr>
    </w:p>
    <w:p>
      <w:pPr>
        <w:numPr>
          <w:ilvl w:val="0"/>
          <w:numId w:val="1"/>
        </w:numPr>
        <w:jc w:val="both"/>
        <w:rPr>
          <w:rStyle w:val="14"/>
          <w:rFonts w:hint="eastAsia" w:asciiTheme="minorEastAsia" w:hAnsiTheme="minorEastAsia" w:eastAsiaTheme="minorEastAsia" w:cstheme="minorEastAsia"/>
          <w:b/>
          <w:bCs/>
          <w:sz w:val="32"/>
          <w:szCs w:val="32"/>
          <w:lang w:val="en-US" w:eastAsia="zh-CN"/>
        </w:rPr>
      </w:pPr>
      <w:r>
        <w:rPr>
          <w:rStyle w:val="14"/>
          <w:rFonts w:hint="eastAsia" w:asciiTheme="minorEastAsia" w:hAnsiTheme="minorEastAsia" w:eastAsiaTheme="minorEastAsia" w:cstheme="minorEastAsia"/>
          <w:b/>
          <w:bCs/>
          <w:sz w:val="32"/>
          <w:szCs w:val="32"/>
          <w:lang w:val="en-US" w:eastAsia="zh-CN"/>
        </w:rPr>
        <w:t>采购方式和定标原则</w:t>
      </w:r>
    </w:p>
    <w:p>
      <w:pPr>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本项目我院采取院内组织公开招标的方式，以综合评分最高者中标的原则确定中标供应商。</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获取招标文件</w:t>
      </w:r>
    </w:p>
    <w:p>
      <w:pPr>
        <w:pStyle w:val="8"/>
        <w:keepNext w:val="0"/>
        <w:keepLines w:val="0"/>
        <w:widowControl/>
        <w:suppressLineNumbers w:val="0"/>
        <w:spacing w:line="300" w:lineRule="atLeast"/>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kern w:val="2"/>
          <w:sz w:val="21"/>
          <w:szCs w:val="21"/>
          <w:lang w:val="en-US" w:eastAsia="zh-CN" w:bidi="ar-SA"/>
        </w:rPr>
        <w:t>地点（网址）</w:t>
      </w:r>
      <w:r>
        <w:rPr>
          <w:rFonts w:hint="eastAsia" w:asciiTheme="minorEastAsia" w:hAnsiTheme="minorEastAsia" w:eastAsiaTheme="minorEastAsia" w:cstheme="minorEastAsia"/>
          <w:kern w:val="2"/>
          <w:sz w:val="21"/>
          <w:szCs w:val="21"/>
          <w:highlight w:val="none"/>
          <w:lang w:val="en-US" w:eastAsia="zh-CN" w:bidi="ar-SA"/>
        </w:rPr>
        <w:t>：</w:t>
      </w:r>
      <w:r>
        <w:rPr>
          <w:rFonts w:hint="eastAsia" w:asciiTheme="minorEastAsia" w:hAnsiTheme="minorEastAsia" w:eastAsiaTheme="minorEastAsia" w:cstheme="minorEastAsia"/>
          <w:kern w:val="2"/>
          <w:sz w:val="21"/>
          <w:szCs w:val="21"/>
          <w:highlight w:val="none"/>
          <w:lang w:eastAsia="zh-CN"/>
        </w:rPr>
        <w:t>h</w:t>
      </w:r>
      <w:r>
        <w:rPr>
          <w:rFonts w:hint="eastAsia" w:asciiTheme="minorEastAsia" w:hAnsiTheme="minorEastAsia" w:eastAsiaTheme="minorEastAsia" w:cstheme="minorEastAsia"/>
          <w:kern w:val="2"/>
          <w:sz w:val="21"/>
          <w:szCs w:val="21"/>
          <w:lang w:eastAsia="zh-CN"/>
        </w:rPr>
        <w:t>ttp://www.wzszyy.com/</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提交投标文件截止时间、开标时间和地点</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w:t>
      </w:r>
      <w:r>
        <w:rPr>
          <w:rFonts w:hint="eastAsia" w:asciiTheme="minorEastAsia" w:hAnsiTheme="minorEastAsia" w:eastAsiaTheme="minorEastAsia" w:cstheme="minorEastAsia"/>
          <w:kern w:val="2"/>
          <w:sz w:val="21"/>
          <w:szCs w:val="21"/>
          <w:lang w:val="en-US" w:eastAsia="zh-CN" w:bidi="ar-SA"/>
        </w:rPr>
        <w:t>提交投标文件截止时间：</w:t>
      </w:r>
      <w:r>
        <w:rPr>
          <w:rFonts w:hint="eastAsia" w:asciiTheme="minorEastAsia" w:hAnsiTheme="minorEastAsia" w:cstheme="minorEastAsia"/>
          <w:kern w:val="2"/>
          <w:sz w:val="21"/>
          <w:szCs w:val="21"/>
          <w:lang w:val="en-US" w:eastAsia="zh-CN" w:bidi="ar-SA"/>
        </w:rPr>
        <w:t>202</w:t>
      </w:r>
      <w:bookmarkStart w:id="0" w:name="_GoBack"/>
      <w:bookmarkEnd w:id="0"/>
      <w:r>
        <w:rPr>
          <w:rFonts w:hint="eastAsia" w:asciiTheme="minorEastAsia" w:hAnsiTheme="minorEastAsia" w:cstheme="minorEastAsia"/>
          <w:kern w:val="2"/>
          <w:sz w:val="21"/>
          <w:szCs w:val="21"/>
          <w:lang w:val="en-US" w:eastAsia="zh-CN" w:bidi="ar-SA"/>
        </w:rPr>
        <w:t>5年9月11日上午9：30</w:t>
      </w:r>
      <w:r>
        <w:rPr>
          <w:rFonts w:hint="eastAsia" w:asciiTheme="minorEastAsia" w:hAnsiTheme="minorEastAsia" w:eastAsiaTheme="minorEastAsia" w:cstheme="minorEastAsia"/>
          <w:kern w:val="2"/>
          <w:sz w:val="21"/>
          <w:szCs w:val="21"/>
          <w:lang w:val="en-US" w:eastAsia="zh-CN" w:bidi="ar-SA"/>
        </w:rPr>
        <w:t>（北京时间）</w:t>
      </w:r>
      <w:r>
        <w:rPr>
          <w:rFonts w:hint="eastAsia" w:asciiTheme="minorEastAsia" w:hAnsiTheme="minorEastAsia" w:eastAsiaTheme="minorEastAsia" w:cstheme="minorEastAsia"/>
          <w:kern w:val="2"/>
          <w:sz w:val="21"/>
          <w:szCs w:val="21"/>
          <w:lang w:val="en-US" w:eastAsia="zh-CN" w:bidi="ar-SA"/>
        </w:rPr>
        <w:br w:type="textWrapping"/>
      </w:r>
      <w:r>
        <w:rPr>
          <w:rFonts w:hint="eastAsia" w:asciiTheme="minorEastAsia" w:hAnsiTheme="minorEastAsia" w:cstheme="minorEastAsia"/>
          <w:kern w:val="2"/>
          <w:sz w:val="21"/>
          <w:szCs w:val="21"/>
          <w:lang w:val="en-US" w:eastAsia="zh-CN" w:bidi="ar-SA"/>
        </w:rPr>
        <w:t>2、</w:t>
      </w:r>
      <w:r>
        <w:rPr>
          <w:rFonts w:hint="eastAsia" w:asciiTheme="minorEastAsia" w:hAnsiTheme="minorEastAsia" w:eastAsiaTheme="minorEastAsia" w:cstheme="minorEastAsia"/>
          <w:kern w:val="2"/>
          <w:sz w:val="21"/>
          <w:szCs w:val="21"/>
          <w:lang w:val="en-US" w:eastAsia="zh-CN" w:bidi="ar-SA"/>
        </w:rPr>
        <w:t>开标时间：</w:t>
      </w:r>
      <w:r>
        <w:rPr>
          <w:rFonts w:hint="eastAsia" w:asciiTheme="minorEastAsia" w:hAnsiTheme="minorEastAsia" w:cstheme="minorEastAsia"/>
          <w:kern w:val="2"/>
          <w:sz w:val="21"/>
          <w:szCs w:val="21"/>
          <w:lang w:val="en-US" w:eastAsia="zh-CN" w:bidi="ar-SA"/>
        </w:rPr>
        <w:t>2025年9月11日上午9：30</w:t>
      </w:r>
      <w:r>
        <w:rPr>
          <w:rFonts w:hint="eastAsia" w:asciiTheme="minorEastAsia" w:hAnsiTheme="minorEastAsia" w:eastAsiaTheme="minorEastAsia" w:cstheme="minorEastAsia"/>
          <w:kern w:val="2"/>
          <w:sz w:val="21"/>
          <w:szCs w:val="21"/>
          <w:lang w:val="en-US" w:eastAsia="zh-CN" w:bidi="ar-SA"/>
        </w:rPr>
        <w:t>（北京时间）</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3、</w:t>
      </w:r>
      <w:r>
        <w:rPr>
          <w:rFonts w:hint="eastAsia" w:asciiTheme="minorEastAsia" w:hAnsiTheme="minorEastAsia" w:eastAsiaTheme="minorEastAsia" w:cstheme="minorEastAsia"/>
          <w:kern w:val="2"/>
          <w:sz w:val="21"/>
          <w:szCs w:val="21"/>
          <w:lang w:val="en-US" w:eastAsia="zh-CN" w:bidi="ar-SA"/>
        </w:rPr>
        <w:t xml:space="preserve">开标地点：温州市中医院行政楼3楼309会议室 </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4、</w:t>
      </w:r>
      <w:r>
        <w:rPr>
          <w:rFonts w:hint="eastAsia" w:asciiTheme="minorEastAsia" w:hAnsiTheme="minorEastAsia" w:eastAsiaTheme="minorEastAsia" w:cstheme="minorEastAsia"/>
          <w:kern w:val="2"/>
          <w:sz w:val="21"/>
          <w:szCs w:val="21"/>
          <w:lang w:val="en-US" w:eastAsia="zh-CN" w:bidi="ar-SA"/>
        </w:rPr>
        <w:t>包装要求:投标文件的技术资信标、商务（报价）标分别密封于包封袋中，并在封套的封口处加盖投标人单位章，并由法定代表人或其授权代表签字。</w:t>
      </w:r>
    </w:p>
    <w:p>
      <w:pPr>
        <w:rPr>
          <w:rFonts w:hint="eastAsia"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5、</w:t>
      </w:r>
      <w:r>
        <w:rPr>
          <w:rFonts w:hint="eastAsia" w:asciiTheme="minorEastAsia" w:hAnsiTheme="minorEastAsia" w:eastAsiaTheme="minorEastAsia" w:cstheme="minorEastAsia"/>
          <w:kern w:val="2"/>
          <w:sz w:val="21"/>
          <w:szCs w:val="21"/>
          <w:lang w:val="en-US" w:eastAsia="zh-CN" w:bidi="ar-SA"/>
        </w:rPr>
        <w:t>投标方式：接受邮寄和现场投递的纸质投标文件</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6、</w:t>
      </w:r>
      <w:r>
        <w:rPr>
          <w:rFonts w:hint="eastAsia" w:asciiTheme="minorEastAsia" w:hAnsiTheme="minorEastAsia" w:eastAsiaTheme="minorEastAsia" w:cstheme="minorEastAsia"/>
          <w:kern w:val="2"/>
          <w:sz w:val="21"/>
          <w:szCs w:val="21"/>
          <w:lang w:val="en-US" w:eastAsia="zh-CN" w:bidi="ar-SA"/>
        </w:rPr>
        <w:t>其他:招标文件一式三份，一正两副加盖公章</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公告期限 </w:t>
      </w:r>
    </w:p>
    <w:p>
      <w:pPr>
        <w:pStyle w:val="8"/>
        <w:keepNext w:val="0"/>
        <w:keepLines w:val="0"/>
        <w:widowControl/>
        <w:suppressLineNumbers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自本公告发布之日起5个工作日。</w:t>
      </w:r>
    </w:p>
    <w:p>
      <w:pPr>
        <w:numPr>
          <w:ilvl w:val="0"/>
          <w:numId w:val="1"/>
        </w:numPr>
        <w:ind w:left="0" w:leftChars="0" w:firstLine="0" w:firstLineChars="0"/>
        <w:jc w:val="both"/>
        <w:rPr>
          <w:rFonts w:hint="eastAsia" w:asciiTheme="minorEastAsia" w:hAnsiTheme="minorEastAsia" w:eastAsiaTheme="minorEastAsia" w:cstheme="minorEastAsia"/>
          <w:b/>
          <w:bCs/>
          <w:sz w:val="28"/>
          <w:szCs w:val="28"/>
        </w:rPr>
      </w:pPr>
      <w:r>
        <w:rPr>
          <w:rStyle w:val="14"/>
          <w:rFonts w:hint="eastAsia" w:asciiTheme="minorEastAsia" w:hAnsiTheme="minorEastAsia" w:eastAsiaTheme="minorEastAsia" w:cstheme="minorEastAsia"/>
          <w:b/>
          <w:bCs/>
          <w:kern w:val="2"/>
          <w:sz w:val="32"/>
          <w:szCs w:val="32"/>
          <w:lang w:val="en-US" w:eastAsia="zh-CN" w:bidi="ar-SA"/>
        </w:rPr>
        <w:t>投标文件编制要求</w:t>
      </w:r>
    </w:p>
    <w:p>
      <w:pPr>
        <w:snapToGrid w:val="0"/>
        <w:spacing w:line="360" w:lineRule="auto"/>
        <w:ind w:firstLine="365" w:firstLineChars="174"/>
        <w:jc w:val="left"/>
        <w:outlineLvl w:val="2"/>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（一）投标文件的组成</w:t>
      </w:r>
    </w:p>
    <w:p>
      <w:pPr>
        <w:snapToGrid w:val="0"/>
        <w:spacing w:line="360" w:lineRule="auto"/>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投标文件由资格证明文件、商务技术文件和报价文件三部份组成</w:t>
      </w:r>
      <w:r>
        <w:rPr>
          <w:rFonts w:hint="eastAsia" w:asciiTheme="minorEastAsia" w:hAnsiTheme="minorEastAsia" w:eastAsiaTheme="minorEastAsia" w:cstheme="minorEastAsia"/>
          <w:b w:val="0"/>
          <w:bCs/>
          <w:sz w:val="21"/>
          <w:szCs w:val="21"/>
          <w:lang w:eastAsia="zh-CN"/>
        </w:rPr>
        <w:t>。</w:t>
      </w:r>
    </w:p>
    <w:p>
      <w:pPr>
        <w:snapToGrid w:val="0"/>
        <w:spacing w:before="120" w:beforeLines="50"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1.资格证明文件：</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（1）投标人资格承诺函；</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（2）法人或者其他组织投标的提供营业执照等证明文件，自然人投标的提供身份证明；</w:t>
      </w:r>
    </w:p>
    <w:p>
      <w:pPr>
        <w:snapToGrid w:val="0"/>
        <w:spacing w:before="120" w:beforeLines="50"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 商务技术文件：</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（1）投标人营业执照；</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（2）投标人为医疗器械生产企业的：第二类、第三类医疗器械生产企业提供《医疗器械生产许可证》、第一类医疗器械生产企业提供第一类医疗器械生产备案凭证；</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投标人为医疗器械经营企业的：第三类医疗器械经营企业提供《医疗器械经营许可证》、第二类医疗器械经营企业提供第二类医疗器械经营备案凭证；</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且投标人经备案或许可的经营范围必须包含本次投标的所有医疗器械；</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（3）提供食品药品监督管理部门核发的完整有效的医疗器械注册或备案证明；</w:t>
      </w:r>
    </w:p>
    <w:p>
      <w:pPr>
        <w:snapToGrid w:val="0"/>
        <w:spacing w:line="360" w:lineRule="auto"/>
        <w:ind w:firstLine="411" w:firstLineChars="196"/>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▲（4）货物制造商或其它有销售资格（提供证明材料）的供应商出具的授权书（适用于投标人是进口货物代理商的情形）；</w:t>
      </w:r>
    </w:p>
    <w:p>
      <w:pPr>
        <w:snapToGrid w:val="0"/>
        <w:spacing w:line="360" w:lineRule="auto"/>
        <w:ind w:firstLine="411" w:firstLineChars="196"/>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kern w:val="0"/>
          <w:sz w:val="21"/>
          <w:szCs w:val="21"/>
        </w:rPr>
        <w:t>（5）投标声明函</w:t>
      </w:r>
      <w:r>
        <w:rPr>
          <w:rFonts w:hint="eastAsia" w:asciiTheme="minorEastAsia" w:hAnsiTheme="minorEastAsia" w:eastAsiaTheme="minorEastAsia" w:cstheme="minorEastAsia"/>
          <w:sz w:val="21"/>
          <w:szCs w:val="21"/>
        </w:rPr>
        <w:t>；</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（6）投标产品一览表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（7）技术响应表；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（8）合同条款响应承诺</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（9）设备配置清单；</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（10）消耗品或易耗品价格； </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（11）售后服务承诺书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（12）业绩证明</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（13）投标人建议的安装、调试、验收方法或方案；</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（14）技术服务、技术培训的内容和措施；</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（15）项目实施人员一览表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（16）维修能力（详见评分标准要求）；</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（17）投标机型的彩页和原厂技术参数；</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18</w:t>
      </w:r>
      <w:r>
        <w:rPr>
          <w:rFonts w:hint="eastAsia" w:asciiTheme="minorEastAsia" w:hAnsiTheme="minorEastAsia" w:eastAsiaTheme="minorEastAsia" w:cstheme="minorEastAsia"/>
          <w:sz w:val="21"/>
          <w:szCs w:val="21"/>
        </w:rPr>
        <w:t>）节能产品的相关证明材料：投标产品列入财政部、发展改革委发布的节能产品品目清单的，提供国家市场监督管理总局公布的《参与实施政府采购节能产品认证机构名录》内的认证机构出具的、处于有效期之内的节能标志产品认证证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环境标志产品的相关证明材料：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）评分方法中的评审证明文件等；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）投标人认为需要提供的其他文件。</w:t>
      </w:r>
    </w:p>
    <w:p>
      <w:pPr>
        <w:snapToGrid w:val="0"/>
        <w:spacing w:line="360" w:lineRule="auto"/>
        <w:ind w:firstLine="413" w:firstLineChars="196"/>
        <w:jc w:val="left"/>
        <w:rPr>
          <w:rFonts w:hint="eastAsia" w:asciiTheme="minorEastAsia" w:hAnsiTheme="minorEastAsia" w:eastAsiaTheme="minorEastAsia" w:cstheme="minorEastAsia"/>
          <w:b/>
          <w:sz w:val="21"/>
          <w:szCs w:val="21"/>
        </w:rPr>
      </w:pPr>
    </w:p>
    <w:p>
      <w:pPr>
        <w:snapToGrid w:val="0"/>
        <w:spacing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3.报价文件：</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（1）开标一览表；</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（2）投标报价明细表；</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（3）投标人针对报价需要说明的其他文件和说明（如有）；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（4）中小企业的相关证明材料（如有</w:t>
      </w:r>
      <w:r>
        <w:rPr>
          <w:rFonts w:hint="eastAsia" w:asciiTheme="minorEastAsia" w:hAnsiTheme="minorEastAsia" w:eastAsiaTheme="minorEastAsia" w:cstheme="minorEastAsia"/>
          <w:kern w:val="0"/>
          <w:sz w:val="21"/>
          <w:szCs w:val="21"/>
        </w:rPr>
        <w:t>）；</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（5）残疾人福利性单位声明函(如有）；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（6）由省级以上监狱管理局、戒毒管理局（含新疆生产建设兵团）出具的属于监狱企业的证明文件（如有）。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商务、技术参数偏离表</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462"/>
        <w:gridCol w:w="6587"/>
        <w:gridCol w:w="11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blHeader/>
        </w:trPr>
        <w:tc>
          <w:tcPr>
            <w:tcW w:w="793" w:type="pct"/>
            <w:shd w:val="clear" w:color="auto" w:fill="CCCCCC"/>
            <w:noWrap w:val="0"/>
            <w:vAlign w:val="center"/>
          </w:tcPr>
          <w:p>
            <w:pPr>
              <w:pStyle w:val="26"/>
              <w:jc w:val="center"/>
              <w:rPr>
                <w:rStyle w:val="25"/>
                <w:rFonts w:ascii="Times New Roman" w:hAnsi="Times New Roman"/>
                <w:bCs w:val="0"/>
                <w:sz w:val="24"/>
                <w:szCs w:val="24"/>
              </w:rPr>
            </w:pPr>
            <w:r>
              <w:rPr>
                <w:rStyle w:val="25"/>
                <w:rFonts w:ascii="Times New Roman" w:hAnsi="宋体"/>
                <w:bCs w:val="0"/>
                <w:sz w:val="24"/>
                <w:szCs w:val="24"/>
              </w:rPr>
              <w:t>序号</w:t>
            </w:r>
          </w:p>
        </w:tc>
        <w:tc>
          <w:tcPr>
            <w:tcW w:w="3575" w:type="pct"/>
            <w:shd w:val="clear" w:color="auto" w:fill="CCCCCC"/>
            <w:noWrap w:val="0"/>
            <w:vAlign w:val="center"/>
          </w:tcPr>
          <w:p>
            <w:pPr>
              <w:pStyle w:val="26"/>
              <w:jc w:val="center"/>
              <w:rPr>
                <w:rStyle w:val="25"/>
                <w:rFonts w:ascii="Times New Roman" w:hAnsi="Times New Roman"/>
                <w:bCs w:val="0"/>
                <w:sz w:val="24"/>
                <w:szCs w:val="24"/>
              </w:rPr>
            </w:pPr>
            <w:r>
              <w:rPr>
                <w:rStyle w:val="25"/>
                <w:rFonts w:ascii="Times New Roman" w:hAnsi="宋体"/>
                <w:bCs w:val="0"/>
                <w:sz w:val="24"/>
                <w:szCs w:val="24"/>
              </w:rPr>
              <w:t>招标要求</w:t>
            </w:r>
          </w:p>
        </w:tc>
        <w:tc>
          <w:tcPr>
            <w:tcW w:w="631" w:type="pct"/>
            <w:shd w:val="clear" w:color="auto" w:fill="CCCCCC"/>
            <w:noWrap w:val="0"/>
            <w:vAlign w:val="center"/>
          </w:tcPr>
          <w:p>
            <w:pPr>
              <w:pStyle w:val="26"/>
              <w:jc w:val="center"/>
              <w:rPr>
                <w:rStyle w:val="25"/>
                <w:rFonts w:ascii="Times New Roman" w:hAnsi="Times New Roman"/>
                <w:bCs w:val="0"/>
                <w:sz w:val="24"/>
                <w:szCs w:val="24"/>
              </w:rPr>
            </w:pPr>
            <w:r>
              <w:rPr>
                <w:rStyle w:val="25"/>
                <w:rFonts w:ascii="Times New Roman" w:hAnsi="宋体"/>
                <w:bCs w:val="0"/>
                <w:sz w:val="24"/>
                <w:szCs w:val="24"/>
              </w:rPr>
              <w:t>投标响应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widowControl/>
              <w:jc w:val="center"/>
              <w:rPr>
                <w:b/>
                <w:bCs/>
                <w:sz w:val="24"/>
              </w:rPr>
            </w:pPr>
            <w:r>
              <w:rPr>
                <w:rFonts w:hAnsi="宋体"/>
                <w:b/>
                <w:bCs/>
                <w:sz w:val="24"/>
              </w:rPr>
              <w:t>一</w:t>
            </w:r>
          </w:p>
        </w:tc>
        <w:tc>
          <w:tcPr>
            <w:tcW w:w="3575" w:type="pct"/>
            <w:noWrap w:val="0"/>
            <w:vAlign w:val="center"/>
          </w:tcPr>
          <w:p>
            <w:pPr>
              <w:widowControl/>
              <w:jc w:val="left"/>
              <w:rPr>
                <w:b/>
                <w:bCs/>
                <w:color w:val="000000"/>
                <w:sz w:val="24"/>
                <w:lang w:bidi="ar"/>
              </w:rPr>
            </w:pPr>
            <w:r>
              <w:rPr>
                <w:rFonts w:hint="default" w:ascii="Times New Roman" w:hAnsi="Times New Roman" w:eastAsia="新宋体" w:cs="Times New Roman"/>
                <w:b/>
                <w:bCs/>
                <w:color w:val="000000"/>
                <w:sz w:val="22"/>
                <w:szCs w:val="22"/>
                <w:lang w:bidi="ar"/>
              </w:rPr>
              <w:t>技术参数要求</w:t>
            </w:r>
          </w:p>
        </w:tc>
        <w:tc>
          <w:tcPr>
            <w:tcW w:w="631" w:type="pct"/>
            <w:noWrap w:val="0"/>
            <w:vAlign w:val="center"/>
          </w:tcPr>
          <w:p>
            <w:pPr>
              <w:pStyle w:val="26"/>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widowControl/>
              <w:spacing w:line="360" w:lineRule="auto"/>
              <w:jc w:val="center"/>
              <w:rPr>
                <w:color w:val="000000"/>
                <w:sz w:val="24"/>
              </w:rPr>
            </w:pPr>
            <w:r>
              <w:rPr>
                <w:rFonts w:hint="eastAsia"/>
                <w:b/>
                <w:color w:val="auto"/>
                <w:sz w:val="24"/>
                <w:shd w:val="clear" w:color="auto" w:fill="auto"/>
              </w:rPr>
              <w:t>用途</w:t>
            </w:r>
          </w:p>
        </w:tc>
        <w:tc>
          <w:tcPr>
            <w:tcW w:w="3575" w:type="pct"/>
            <w:noWrap w:val="0"/>
            <w:vAlign w:val="top"/>
          </w:tcPr>
          <w:p>
            <w:pPr>
              <w:ind w:firstLine="0" w:firstLineChars="0"/>
              <w:jc w:val="left"/>
              <w:rPr>
                <w:color w:val="000000"/>
                <w:sz w:val="24"/>
              </w:rPr>
            </w:pPr>
            <w:r>
              <w:rPr>
                <w:rFonts w:hint="eastAsia"/>
                <w:bCs/>
                <w:color w:val="auto"/>
                <w:sz w:val="24"/>
                <w:shd w:val="clear" w:color="auto" w:fill="auto"/>
              </w:rPr>
              <w:t>可作普通染色的切片的明场观察，用于研究工作。</w:t>
            </w:r>
          </w:p>
        </w:tc>
        <w:tc>
          <w:tcPr>
            <w:tcW w:w="631" w:type="pct"/>
            <w:noWrap w:val="0"/>
            <w:vAlign w:val="center"/>
          </w:tcPr>
          <w:p>
            <w:pPr>
              <w:widowControl/>
              <w:spacing w:line="360" w:lineRule="auto"/>
              <w:jc w:val="center"/>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widowControl/>
              <w:spacing w:line="360" w:lineRule="auto"/>
              <w:jc w:val="center"/>
              <w:rPr>
                <w:color w:val="000000"/>
                <w:sz w:val="24"/>
              </w:rPr>
            </w:pPr>
            <w:r>
              <w:rPr>
                <w:rFonts w:hint="eastAsia" w:ascii="Times New Roman" w:hAnsi="Times New Roman" w:eastAsia="宋体" w:cs="Times New Roman"/>
                <w:b/>
                <w:color w:val="000000"/>
                <w:kern w:val="2"/>
                <w:sz w:val="24"/>
                <w:szCs w:val="24"/>
                <w:lang w:val="en-US" w:eastAsia="zh-CN" w:bidi="ar-SA"/>
              </w:rPr>
              <w:t>1</w:t>
            </w:r>
          </w:p>
        </w:tc>
        <w:tc>
          <w:tcPr>
            <w:tcW w:w="3575" w:type="pct"/>
            <w:noWrap w:val="0"/>
            <w:vAlign w:val="center"/>
          </w:tcPr>
          <w:p>
            <w:pPr>
              <w:widowControl/>
              <w:numPr>
                <w:ilvl w:val="0"/>
                <w:numId w:val="0"/>
              </w:numPr>
              <w:spacing w:line="360" w:lineRule="auto"/>
              <w:ind w:left="360" w:leftChars="0" w:hanging="360" w:firstLineChars="0"/>
              <w:rPr>
                <w:color w:val="000000"/>
                <w:sz w:val="24"/>
              </w:rPr>
            </w:pPr>
            <w:r>
              <w:rPr>
                <w:rFonts w:hint="eastAsia"/>
                <w:b/>
                <w:color w:val="auto"/>
                <w:sz w:val="24"/>
                <w:shd w:val="clear" w:color="auto" w:fill="auto"/>
              </w:rPr>
              <w:t>工作条件</w:t>
            </w:r>
          </w:p>
        </w:tc>
        <w:tc>
          <w:tcPr>
            <w:tcW w:w="631" w:type="pct"/>
            <w:noWrap w:val="0"/>
            <w:vAlign w:val="center"/>
          </w:tcPr>
          <w:p>
            <w:pPr>
              <w:widowControl/>
              <w:spacing w:line="360" w:lineRule="auto"/>
              <w:jc w:val="center"/>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jc w:val="center"/>
              <w:rPr>
                <w:color w:val="000000"/>
                <w:sz w:val="24"/>
              </w:rPr>
            </w:pPr>
            <w:r>
              <w:rPr>
                <w:bCs/>
                <w:color w:val="auto"/>
                <w:sz w:val="24"/>
                <w:shd w:val="clear" w:color="auto" w:fill="auto"/>
              </w:rPr>
              <w:t>1.1</w:t>
            </w:r>
          </w:p>
        </w:tc>
        <w:tc>
          <w:tcPr>
            <w:tcW w:w="3575" w:type="pct"/>
            <w:noWrap w:val="0"/>
            <w:vAlign w:val="top"/>
          </w:tcPr>
          <w:p>
            <w:pPr>
              <w:spacing w:line="360" w:lineRule="auto"/>
              <w:ind w:left="480" w:leftChars="0" w:hanging="480" w:hangingChars="200"/>
              <w:jc w:val="left"/>
              <w:rPr>
                <w:color w:val="000000"/>
                <w:sz w:val="24"/>
              </w:rPr>
            </w:pPr>
            <w:r>
              <w:rPr>
                <w:color w:val="auto"/>
                <w:sz w:val="24"/>
                <w:shd w:val="clear" w:color="auto" w:fill="auto"/>
              </w:rPr>
              <w:t>适于在气温为摄氏-40℃～＋50℃的环境条件下运输和贮存，</w:t>
            </w:r>
            <w:r>
              <w:rPr>
                <w:bCs/>
                <w:color w:val="auto"/>
                <w:sz w:val="24"/>
                <w:shd w:val="clear" w:color="auto" w:fill="auto"/>
              </w:rPr>
              <w:t>在电源220V（</w:t>
            </w:r>
            <w:r>
              <w:rPr>
                <w:bCs/>
                <w:color w:val="auto"/>
                <w:sz w:val="24"/>
                <w:shd w:val="clear" w:color="auto" w:fill="auto"/>
              </w:rPr>
              <w:sym w:font="Symbol" w:char="F0B1"/>
            </w:r>
            <w:r>
              <w:rPr>
                <w:bCs/>
                <w:color w:val="auto"/>
                <w:sz w:val="24"/>
                <w:shd w:val="clear" w:color="auto" w:fill="auto"/>
              </w:rPr>
              <w:t>10%）/50Hz、气温摄氏-5℃～40℃和相对湿度85%的环境条件下运行。</w:t>
            </w:r>
          </w:p>
        </w:tc>
        <w:tc>
          <w:tcPr>
            <w:tcW w:w="631" w:type="pct"/>
            <w:noWrap w:val="0"/>
            <w:vAlign w:val="center"/>
          </w:tcPr>
          <w:p>
            <w:pPr>
              <w:widowControl/>
              <w:spacing w:line="360" w:lineRule="auto"/>
              <w:jc w:val="center"/>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jc w:val="center"/>
              <w:rPr>
                <w:rFonts w:hint="eastAsia" w:ascii="宋体" w:hAnsi="宋体" w:cs="宋体"/>
                <w:b/>
                <w:bCs/>
                <w:szCs w:val="21"/>
                <w:highlight w:val="none"/>
              </w:rPr>
            </w:pPr>
            <w:r>
              <w:rPr>
                <w:bCs/>
                <w:color w:val="auto"/>
                <w:sz w:val="24"/>
                <w:shd w:val="clear" w:color="auto" w:fill="auto"/>
              </w:rPr>
              <w:t>1.2</w:t>
            </w:r>
          </w:p>
        </w:tc>
        <w:tc>
          <w:tcPr>
            <w:tcW w:w="3575" w:type="pct"/>
            <w:noWrap w:val="0"/>
            <w:vAlign w:val="top"/>
          </w:tcPr>
          <w:p>
            <w:pPr>
              <w:spacing w:line="360" w:lineRule="auto"/>
              <w:jc w:val="left"/>
              <w:rPr>
                <w:color w:val="000000"/>
                <w:sz w:val="24"/>
              </w:rPr>
            </w:pPr>
            <w:r>
              <w:rPr>
                <w:bCs/>
                <w:color w:val="auto"/>
                <w:sz w:val="24"/>
                <w:shd w:val="clear" w:color="auto" w:fill="auto"/>
              </w:rPr>
              <w:t>配置符合中国有关标准要求的插头，或提供适当的转换插座。</w:t>
            </w:r>
          </w:p>
        </w:tc>
        <w:tc>
          <w:tcPr>
            <w:tcW w:w="631" w:type="pct"/>
            <w:noWrap w:val="0"/>
            <w:vAlign w:val="center"/>
          </w:tcPr>
          <w:p>
            <w:pPr>
              <w:widowControl/>
              <w:spacing w:line="360" w:lineRule="auto"/>
              <w:jc w:val="center"/>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jc w:val="center"/>
              <w:rPr>
                <w:rFonts w:hint="eastAsia" w:ascii="宋体" w:hAnsi="宋体" w:cs="宋体"/>
                <w:b/>
                <w:bCs/>
                <w:szCs w:val="21"/>
                <w:highlight w:val="none"/>
              </w:rPr>
            </w:pPr>
            <w:r>
              <w:rPr>
                <w:rFonts w:hint="eastAsia" w:ascii="Times New Roman" w:hAnsi="Times New Roman" w:eastAsia="宋体" w:cs="Times New Roman"/>
                <w:b/>
                <w:color w:val="000000"/>
                <w:kern w:val="2"/>
                <w:sz w:val="24"/>
                <w:szCs w:val="24"/>
                <w:lang w:val="en-US" w:eastAsia="zh-CN" w:bidi="ar-SA"/>
              </w:rPr>
              <w:t>2</w:t>
            </w:r>
          </w:p>
        </w:tc>
        <w:tc>
          <w:tcPr>
            <w:tcW w:w="3575" w:type="pct"/>
            <w:noWrap w:val="0"/>
            <w:vAlign w:val="top"/>
          </w:tcPr>
          <w:p>
            <w:pPr>
              <w:numPr>
                <w:ilvl w:val="0"/>
                <w:numId w:val="0"/>
              </w:numPr>
              <w:spacing w:line="360" w:lineRule="auto"/>
              <w:ind w:left="360" w:leftChars="0" w:hanging="360" w:firstLineChars="0"/>
              <w:jc w:val="left"/>
              <w:rPr>
                <w:color w:val="000000"/>
                <w:sz w:val="24"/>
              </w:rPr>
            </w:pPr>
            <w:r>
              <w:rPr>
                <w:rFonts w:hint="eastAsia"/>
                <w:b/>
                <w:color w:val="auto"/>
                <w:sz w:val="24"/>
                <w:shd w:val="clear" w:color="auto" w:fill="auto"/>
              </w:rPr>
              <w:t>主要技术指标</w:t>
            </w:r>
          </w:p>
        </w:tc>
        <w:tc>
          <w:tcPr>
            <w:tcW w:w="631" w:type="pct"/>
            <w:noWrap w:val="0"/>
            <w:vAlign w:val="center"/>
          </w:tcPr>
          <w:p>
            <w:pPr>
              <w:widowControl/>
              <w:spacing w:line="360" w:lineRule="auto"/>
              <w:jc w:val="center"/>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center"/>
              <w:rPr>
                <w:rFonts w:ascii="宋体" w:hAnsi="宋体" w:eastAsia="宋体" w:cs="宋体"/>
                <w:b/>
                <w:kern w:val="2"/>
                <w:sz w:val="21"/>
                <w:szCs w:val="21"/>
                <w:highlight w:val="none"/>
                <w:lang w:val="en-US" w:eastAsia="zh-CN" w:bidi="ar-SA"/>
              </w:rPr>
            </w:pPr>
            <w:r>
              <w:rPr>
                <w:rFonts w:hint="eastAsia"/>
                <w:bCs/>
                <w:color w:val="auto"/>
                <w:sz w:val="24"/>
                <w:shd w:val="clear" w:color="auto" w:fill="auto"/>
              </w:rPr>
              <w:t>2.1</w:t>
            </w:r>
          </w:p>
        </w:tc>
        <w:tc>
          <w:tcPr>
            <w:tcW w:w="3575" w:type="pct"/>
            <w:noWrap w:val="0"/>
            <w:vAlign w:val="top"/>
          </w:tcPr>
          <w:p>
            <w:pPr>
              <w:spacing w:line="360" w:lineRule="auto"/>
              <w:jc w:val="left"/>
              <w:rPr>
                <w:rFonts w:ascii="宋体" w:hAnsi="宋体" w:eastAsia="宋体" w:cs="Times New Roman"/>
                <w:kern w:val="2"/>
                <w:sz w:val="21"/>
                <w:szCs w:val="21"/>
                <w:highlight w:val="none"/>
                <w:lang w:val="en-US" w:eastAsia="zh-CN" w:bidi="ar-SA"/>
              </w:rPr>
            </w:pPr>
            <w:r>
              <w:rPr>
                <w:rFonts w:hint="eastAsia"/>
                <w:bCs/>
                <w:color w:val="auto"/>
                <w:sz w:val="24"/>
                <w:shd w:val="clear" w:color="auto" w:fill="auto"/>
              </w:rPr>
              <w:t>研究级正置显微镜</w:t>
            </w:r>
          </w:p>
        </w:tc>
        <w:tc>
          <w:tcPr>
            <w:tcW w:w="631"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center"/>
              <w:rPr>
                <w:rFonts w:ascii="宋体" w:hAnsi="宋体" w:eastAsia="宋体" w:cs="宋体"/>
                <w:kern w:val="2"/>
                <w:sz w:val="21"/>
                <w:szCs w:val="21"/>
                <w:highlight w:val="none"/>
                <w:lang w:val="en-US" w:eastAsia="zh-CN" w:bidi="ar-SA"/>
              </w:rPr>
            </w:pPr>
            <w:r>
              <w:rPr>
                <w:bCs/>
                <w:color w:val="auto"/>
                <w:sz w:val="24"/>
                <w:shd w:val="clear" w:color="auto" w:fill="auto"/>
              </w:rPr>
              <w:t xml:space="preserve"> </w:t>
            </w:r>
            <w:r>
              <w:rPr>
                <w:rFonts w:hint="eastAsia"/>
                <w:bCs/>
                <w:color w:val="auto"/>
                <w:sz w:val="24"/>
                <w:shd w:val="clear" w:color="auto" w:fill="auto"/>
              </w:rPr>
              <w:t>2</w:t>
            </w:r>
            <w:r>
              <w:rPr>
                <w:bCs/>
                <w:color w:val="auto"/>
                <w:sz w:val="24"/>
                <w:shd w:val="clear" w:color="auto" w:fill="auto"/>
              </w:rPr>
              <w:t>.</w:t>
            </w:r>
            <w:r>
              <w:rPr>
                <w:rFonts w:hint="eastAsia"/>
                <w:bCs/>
                <w:color w:val="auto"/>
                <w:sz w:val="24"/>
                <w:shd w:val="clear" w:color="auto" w:fill="auto"/>
              </w:rPr>
              <w:t>1</w:t>
            </w:r>
            <w:r>
              <w:rPr>
                <w:bCs/>
                <w:color w:val="auto"/>
                <w:sz w:val="24"/>
                <w:shd w:val="clear" w:color="auto" w:fill="auto"/>
              </w:rPr>
              <w:t>.</w:t>
            </w:r>
            <w:r>
              <w:rPr>
                <w:rFonts w:hint="eastAsia"/>
                <w:bCs/>
                <w:color w:val="auto"/>
                <w:sz w:val="24"/>
                <w:shd w:val="clear" w:color="auto" w:fill="auto"/>
              </w:rPr>
              <w:t>1</w:t>
            </w:r>
            <w:r>
              <w:rPr>
                <w:bCs/>
                <w:color w:val="auto"/>
                <w:sz w:val="24"/>
                <w:shd w:val="clear" w:color="auto" w:fill="auto"/>
              </w:rPr>
              <w:t xml:space="preserve">  </w:t>
            </w:r>
          </w:p>
        </w:tc>
        <w:tc>
          <w:tcPr>
            <w:tcW w:w="3575" w:type="pct"/>
            <w:noWrap w:val="0"/>
            <w:vAlign w:val="top"/>
          </w:tcPr>
          <w:p>
            <w:pPr>
              <w:spacing w:line="360" w:lineRule="auto"/>
              <w:ind w:firstLine="0" w:firstLineChars="0"/>
              <w:jc w:val="left"/>
              <w:rPr>
                <w:rFonts w:ascii="宋体" w:hAnsi="宋体" w:eastAsia="宋体" w:cs="Times New Roman"/>
                <w:kern w:val="2"/>
                <w:sz w:val="21"/>
                <w:szCs w:val="21"/>
                <w:highlight w:val="none"/>
                <w:lang w:val="en-US" w:eastAsia="zh-CN" w:bidi="ar-SA"/>
              </w:rPr>
            </w:pPr>
            <w:r>
              <w:rPr>
                <w:rFonts w:hint="eastAsia"/>
                <w:bCs/>
                <w:color w:val="auto"/>
                <w:sz w:val="24"/>
                <w:shd w:val="clear" w:color="auto" w:fill="auto"/>
              </w:rPr>
              <w:t>研究级正置显微镜，可作明场的观察</w:t>
            </w:r>
          </w:p>
        </w:tc>
        <w:tc>
          <w:tcPr>
            <w:tcW w:w="631"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center"/>
              <w:rPr>
                <w:rFonts w:ascii="宋体" w:hAnsi="宋体" w:eastAsia="宋体" w:cs="宋体"/>
                <w:kern w:val="2"/>
                <w:sz w:val="21"/>
                <w:szCs w:val="21"/>
                <w:highlight w:val="none"/>
                <w:lang w:val="en-US" w:eastAsia="zh-CN" w:bidi="ar-SA"/>
              </w:rPr>
            </w:pPr>
            <w:r>
              <w:rPr>
                <w:rFonts w:hint="eastAsia" w:ascii="宋体" w:hAnsi="宋体" w:eastAsia="宋体" w:cs="宋体"/>
                <w:b/>
                <w:bCs/>
                <w:color w:val="000000"/>
                <w:sz w:val="20"/>
                <w:szCs w:val="20"/>
                <w:lang w:eastAsia="zh-CN"/>
              </w:rPr>
              <w:t>★</w:t>
            </w:r>
            <w:r>
              <w:rPr>
                <w:rFonts w:hint="eastAsia"/>
                <w:bCs/>
                <w:color w:val="auto"/>
                <w:sz w:val="24"/>
                <w:shd w:val="clear" w:color="auto" w:fill="auto"/>
              </w:rPr>
              <w:t>2</w:t>
            </w:r>
            <w:r>
              <w:rPr>
                <w:bCs/>
                <w:color w:val="auto"/>
                <w:sz w:val="24"/>
                <w:shd w:val="clear" w:color="auto" w:fill="auto"/>
              </w:rPr>
              <w:t>.</w:t>
            </w:r>
            <w:r>
              <w:rPr>
                <w:rFonts w:hint="eastAsia"/>
                <w:bCs/>
                <w:color w:val="auto"/>
                <w:sz w:val="24"/>
                <w:shd w:val="clear" w:color="auto" w:fill="auto"/>
              </w:rPr>
              <w:t>1</w:t>
            </w:r>
            <w:r>
              <w:rPr>
                <w:bCs/>
                <w:color w:val="auto"/>
                <w:sz w:val="24"/>
                <w:shd w:val="clear" w:color="auto" w:fill="auto"/>
              </w:rPr>
              <w:t>.2</w:t>
            </w:r>
            <w:r>
              <w:rPr>
                <w:rFonts w:hint="eastAsia"/>
                <w:bCs/>
                <w:color w:val="auto"/>
                <w:sz w:val="24"/>
                <w:shd w:val="clear" w:color="auto" w:fill="auto"/>
              </w:rPr>
              <w:t xml:space="preserve">  </w:t>
            </w:r>
          </w:p>
        </w:tc>
        <w:tc>
          <w:tcPr>
            <w:tcW w:w="3575" w:type="pct"/>
            <w:noWrap w:val="0"/>
            <w:vAlign w:val="top"/>
          </w:tcPr>
          <w:p>
            <w:pPr>
              <w:spacing w:line="360" w:lineRule="auto"/>
              <w:ind w:firstLine="0" w:firstLineChars="0"/>
              <w:jc w:val="left"/>
              <w:rPr>
                <w:rFonts w:ascii="宋体" w:hAnsi="宋体" w:eastAsia="宋体" w:cs="Times New Roman"/>
                <w:kern w:val="2"/>
                <w:sz w:val="21"/>
                <w:szCs w:val="21"/>
                <w:highlight w:val="none"/>
                <w:lang w:val="en-US" w:eastAsia="zh-CN" w:bidi="ar-SA"/>
              </w:rPr>
            </w:pPr>
            <w:r>
              <w:rPr>
                <w:rFonts w:hint="eastAsia"/>
                <w:bCs/>
                <w:color w:val="auto"/>
                <w:sz w:val="24"/>
                <w:shd w:val="clear" w:color="auto" w:fill="auto"/>
              </w:rPr>
              <w:t>光学系统：</w:t>
            </w:r>
            <w:r>
              <w:rPr>
                <w:bCs/>
                <w:color w:val="auto"/>
                <w:sz w:val="24"/>
                <w:shd w:val="clear" w:color="auto" w:fill="auto"/>
              </w:rPr>
              <w:t>无限远校正光学系统，齐焦距离</w:t>
            </w:r>
            <w:r>
              <w:rPr>
                <w:rFonts w:hint="eastAsia"/>
                <w:bCs/>
                <w:color w:val="auto"/>
                <w:sz w:val="24"/>
                <w:shd w:val="clear" w:color="auto" w:fill="auto"/>
              </w:rPr>
              <w:t>≤</w:t>
            </w:r>
            <w:r>
              <w:rPr>
                <w:bCs/>
                <w:color w:val="auto"/>
                <w:sz w:val="24"/>
                <w:shd w:val="clear" w:color="auto" w:fill="auto"/>
              </w:rPr>
              <w:t>45mm</w:t>
            </w:r>
          </w:p>
        </w:tc>
        <w:tc>
          <w:tcPr>
            <w:tcW w:w="631"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center"/>
              <w:rPr>
                <w:rFonts w:ascii="宋体" w:hAnsi="宋体" w:eastAsia="宋体" w:cs="宋体"/>
                <w:kern w:val="2"/>
                <w:sz w:val="21"/>
                <w:szCs w:val="21"/>
                <w:highlight w:val="none"/>
                <w:lang w:val="en-US" w:eastAsia="zh-CN" w:bidi="ar-SA"/>
              </w:rPr>
            </w:pPr>
            <w:r>
              <w:rPr>
                <w:rFonts w:hint="eastAsia"/>
                <w:bCs/>
                <w:color w:val="auto"/>
                <w:sz w:val="24"/>
                <w:shd w:val="clear" w:color="auto" w:fill="auto"/>
              </w:rPr>
              <w:t>2</w:t>
            </w:r>
            <w:r>
              <w:rPr>
                <w:bCs/>
                <w:color w:val="auto"/>
                <w:sz w:val="24"/>
                <w:shd w:val="clear" w:color="auto" w:fill="auto"/>
              </w:rPr>
              <w:t>.</w:t>
            </w:r>
            <w:r>
              <w:rPr>
                <w:rFonts w:hint="eastAsia"/>
                <w:bCs/>
                <w:color w:val="auto"/>
                <w:sz w:val="24"/>
                <w:shd w:val="clear" w:color="auto" w:fill="auto"/>
              </w:rPr>
              <w:t>1</w:t>
            </w:r>
            <w:r>
              <w:rPr>
                <w:bCs/>
                <w:color w:val="auto"/>
                <w:sz w:val="24"/>
                <w:shd w:val="clear" w:color="auto" w:fill="auto"/>
              </w:rPr>
              <w:t>.3</w:t>
            </w:r>
            <w:r>
              <w:rPr>
                <w:rFonts w:hint="eastAsia"/>
                <w:bCs/>
                <w:color w:val="auto"/>
                <w:sz w:val="24"/>
                <w:shd w:val="clear" w:color="auto" w:fill="auto"/>
              </w:rPr>
              <w:t xml:space="preserve"> </w:t>
            </w:r>
          </w:p>
        </w:tc>
        <w:tc>
          <w:tcPr>
            <w:tcW w:w="3575" w:type="pct"/>
            <w:noWrap w:val="0"/>
            <w:vAlign w:val="top"/>
          </w:tcPr>
          <w:p>
            <w:pPr>
              <w:spacing w:line="360" w:lineRule="auto"/>
              <w:jc w:val="left"/>
              <w:rPr>
                <w:rFonts w:ascii="宋体" w:hAnsi="宋体" w:eastAsia="宋体" w:cs="Times New Roman"/>
                <w:kern w:val="2"/>
                <w:sz w:val="21"/>
                <w:szCs w:val="21"/>
                <w:highlight w:val="none"/>
                <w:lang w:val="en-US" w:eastAsia="zh-CN" w:bidi="ar-SA"/>
              </w:rPr>
            </w:pPr>
            <w:r>
              <w:rPr>
                <w:rFonts w:hint="eastAsia"/>
                <w:bCs/>
                <w:color w:val="auto"/>
                <w:sz w:val="24"/>
                <w:shd w:val="clear" w:color="auto" w:fill="auto"/>
              </w:rPr>
              <w:t>调焦：载物台垂直运动方式距离≤25mm，带聚焦粗调限位器，粗调旋钮扭矩可调，最小微调刻度单位≥1μm。</w:t>
            </w:r>
          </w:p>
        </w:tc>
        <w:tc>
          <w:tcPr>
            <w:tcW w:w="631"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center"/>
              <w:rPr>
                <w:rFonts w:ascii="宋体" w:hAnsi="宋体" w:eastAsia="宋体" w:cs="宋体"/>
                <w:kern w:val="2"/>
                <w:sz w:val="21"/>
                <w:szCs w:val="21"/>
                <w:highlight w:val="none"/>
                <w:lang w:val="en-US" w:eastAsia="zh-CN" w:bidi="ar-SA"/>
              </w:rPr>
            </w:pPr>
            <w:r>
              <w:rPr>
                <w:rFonts w:hint="eastAsia"/>
                <w:bCs/>
                <w:color w:val="auto"/>
                <w:sz w:val="24"/>
                <w:shd w:val="clear" w:color="auto" w:fill="auto"/>
              </w:rPr>
              <w:t>2</w:t>
            </w:r>
            <w:r>
              <w:rPr>
                <w:bCs/>
                <w:color w:val="auto"/>
                <w:sz w:val="24"/>
                <w:shd w:val="clear" w:color="auto" w:fill="auto"/>
              </w:rPr>
              <w:t>.</w:t>
            </w:r>
            <w:r>
              <w:rPr>
                <w:rFonts w:hint="eastAsia"/>
                <w:bCs/>
                <w:color w:val="auto"/>
                <w:sz w:val="24"/>
                <w:shd w:val="clear" w:color="auto" w:fill="auto"/>
              </w:rPr>
              <w:t>1</w:t>
            </w:r>
            <w:r>
              <w:rPr>
                <w:bCs/>
                <w:color w:val="auto"/>
                <w:sz w:val="24"/>
                <w:shd w:val="clear" w:color="auto" w:fill="auto"/>
              </w:rPr>
              <w:t>.4</w:t>
            </w:r>
            <w:r>
              <w:rPr>
                <w:rFonts w:hint="eastAsia"/>
                <w:bCs/>
                <w:color w:val="auto"/>
                <w:sz w:val="24"/>
                <w:shd w:val="clear" w:color="auto" w:fill="auto"/>
              </w:rPr>
              <w:t xml:space="preserve"> </w:t>
            </w:r>
          </w:p>
        </w:tc>
        <w:tc>
          <w:tcPr>
            <w:tcW w:w="3575" w:type="pct"/>
            <w:noWrap w:val="0"/>
            <w:vAlign w:val="top"/>
          </w:tcPr>
          <w:p>
            <w:pPr>
              <w:spacing w:line="360" w:lineRule="auto"/>
              <w:ind w:firstLine="0" w:firstLineChars="0"/>
              <w:jc w:val="left"/>
              <w:rPr>
                <w:rFonts w:ascii="宋体" w:hAnsi="宋体" w:eastAsia="宋体" w:cs="Times New Roman"/>
                <w:kern w:val="2"/>
                <w:sz w:val="21"/>
                <w:szCs w:val="21"/>
                <w:highlight w:val="none"/>
                <w:lang w:val="en-US" w:eastAsia="zh-CN" w:bidi="ar-SA"/>
              </w:rPr>
            </w:pPr>
            <w:r>
              <w:rPr>
                <w:rFonts w:hint="eastAsia"/>
                <w:bCs/>
                <w:color w:val="auto"/>
                <w:sz w:val="24"/>
                <w:shd w:val="clear" w:color="auto" w:fill="auto"/>
              </w:rPr>
              <w:t>观察镜筒：三目观察筒，倾角为30，三档分光°</w:t>
            </w:r>
          </w:p>
        </w:tc>
        <w:tc>
          <w:tcPr>
            <w:tcW w:w="631"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r>
              <w:rPr>
                <w:rFonts w:hint="eastAsia" w:ascii="宋体" w:hAnsi="宋体" w:cs="宋体"/>
                <w:kern w:val="2"/>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center"/>
              <w:rPr>
                <w:rFonts w:ascii="宋体" w:hAnsi="宋体" w:eastAsia="宋体" w:cs="宋体"/>
                <w:kern w:val="2"/>
                <w:sz w:val="21"/>
                <w:szCs w:val="21"/>
                <w:highlight w:val="none"/>
                <w:lang w:val="en-US" w:eastAsia="zh-CN" w:bidi="ar-SA"/>
              </w:rPr>
            </w:pPr>
            <w:r>
              <w:rPr>
                <w:rFonts w:hint="eastAsia" w:ascii="宋体" w:hAnsi="宋体" w:eastAsia="宋体" w:cs="宋体"/>
                <w:b/>
                <w:bCs/>
                <w:color w:val="000000"/>
                <w:sz w:val="20"/>
                <w:szCs w:val="20"/>
                <w:lang w:eastAsia="zh-CN"/>
              </w:rPr>
              <w:t>▲</w:t>
            </w:r>
            <w:r>
              <w:rPr>
                <w:rFonts w:hint="eastAsia"/>
                <w:bCs/>
                <w:color w:val="auto"/>
                <w:sz w:val="24"/>
                <w:shd w:val="clear" w:color="auto" w:fill="auto"/>
              </w:rPr>
              <w:t>2</w:t>
            </w:r>
            <w:r>
              <w:rPr>
                <w:bCs/>
                <w:color w:val="auto"/>
                <w:sz w:val="24"/>
                <w:shd w:val="clear" w:color="auto" w:fill="auto"/>
              </w:rPr>
              <w:t>.</w:t>
            </w:r>
            <w:r>
              <w:rPr>
                <w:rFonts w:hint="eastAsia"/>
                <w:bCs/>
                <w:color w:val="auto"/>
                <w:sz w:val="24"/>
                <w:shd w:val="clear" w:color="auto" w:fill="auto"/>
              </w:rPr>
              <w:t>1</w:t>
            </w:r>
            <w:r>
              <w:rPr>
                <w:bCs/>
                <w:color w:val="auto"/>
                <w:sz w:val="24"/>
                <w:shd w:val="clear" w:color="auto" w:fill="auto"/>
              </w:rPr>
              <w:t>.5</w:t>
            </w:r>
          </w:p>
        </w:tc>
        <w:tc>
          <w:tcPr>
            <w:tcW w:w="3575" w:type="pct"/>
            <w:noWrap w:val="0"/>
            <w:vAlign w:val="top"/>
          </w:tcPr>
          <w:p>
            <w:pPr>
              <w:spacing w:line="360" w:lineRule="auto"/>
              <w:ind w:firstLine="0" w:firstLineChars="0"/>
              <w:jc w:val="left"/>
              <w:rPr>
                <w:rFonts w:ascii="宋体" w:hAnsi="宋体" w:eastAsia="宋体" w:cs="Times New Roman"/>
                <w:kern w:val="2"/>
                <w:sz w:val="21"/>
                <w:szCs w:val="21"/>
                <w:highlight w:val="none"/>
                <w:lang w:val="en-US" w:eastAsia="zh-CN" w:bidi="ar-SA"/>
              </w:rPr>
            </w:pPr>
            <w:r>
              <w:rPr>
                <w:rFonts w:hint="eastAsia"/>
                <w:bCs/>
                <w:color w:val="auto"/>
                <w:sz w:val="24"/>
                <w:shd w:val="clear" w:color="auto" w:fill="auto"/>
              </w:rPr>
              <w:t>照明装置：内置透射光柯勒照明器，≥14W高色彩还原LED光源，使用寿命≥50000h。</w:t>
            </w:r>
          </w:p>
        </w:tc>
        <w:tc>
          <w:tcPr>
            <w:tcW w:w="631"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265" w:hRule="atLeast"/>
        </w:trPr>
        <w:tc>
          <w:tcPr>
            <w:tcW w:w="793" w:type="pct"/>
            <w:noWrap w:val="0"/>
            <w:vAlign w:val="center"/>
          </w:tcPr>
          <w:p>
            <w:pPr>
              <w:pStyle w:val="20"/>
              <w:ind w:firstLine="0" w:firstLineChars="0"/>
              <w:jc w:val="center"/>
              <w:rPr>
                <w:rFonts w:ascii="宋体" w:hAnsi="宋体" w:eastAsia="宋体" w:cs="宋体"/>
                <w:kern w:val="2"/>
                <w:sz w:val="21"/>
                <w:szCs w:val="21"/>
                <w:highlight w:val="none"/>
                <w:lang w:val="en-US" w:eastAsia="zh-CN" w:bidi="ar-SA"/>
              </w:rPr>
            </w:pPr>
            <w:r>
              <w:rPr>
                <w:rFonts w:hint="eastAsia" w:ascii="宋体" w:hAnsi="宋体" w:eastAsia="宋体" w:cs="宋体"/>
                <w:b/>
                <w:bCs/>
                <w:color w:val="000000"/>
                <w:sz w:val="20"/>
                <w:szCs w:val="20"/>
                <w:lang w:eastAsia="zh-CN"/>
              </w:rPr>
              <w:t>★</w:t>
            </w:r>
            <w:r>
              <w:rPr>
                <w:rFonts w:hint="eastAsia"/>
                <w:bCs/>
                <w:color w:val="auto"/>
                <w:sz w:val="24"/>
                <w:shd w:val="clear" w:color="auto" w:fill="auto"/>
              </w:rPr>
              <w:t>2</w:t>
            </w:r>
            <w:r>
              <w:rPr>
                <w:bCs/>
                <w:color w:val="auto"/>
                <w:sz w:val="24"/>
                <w:shd w:val="clear" w:color="auto" w:fill="auto"/>
              </w:rPr>
              <w:t>.</w:t>
            </w:r>
            <w:r>
              <w:rPr>
                <w:rFonts w:hint="eastAsia"/>
                <w:bCs/>
                <w:color w:val="auto"/>
                <w:sz w:val="24"/>
                <w:shd w:val="clear" w:color="auto" w:fill="auto"/>
              </w:rPr>
              <w:t>1</w:t>
            </w:r>
            <w:r>
              <w:rPr>
                <w:bCs/>
                <w:color w:val="auto"/>
                <w:sz w:val="24"/>
                <w:shd w:val="clear" w:color="auto" w:fill="auto"/>
              </w:rPr>
              <w:t>.6</w:t>
            </w:r>
            <w:r>
              <w:rPr>
                <w:rFonts w:hint="eastAsia"/>
                <w:bCs/>
                <w:color w:val="auto"/>
                <w:sz w:val="24"/>
                <w:shd w:val="clear" w:color="auto" w:fill="auto"/>
              </w:rPr>
              <w:t xml:space="preserve">  </w:t>
            </w:r>
          </w:p>
        </w:tc>
        <w:tc>
          <w:tcPr>
            <w:tcW w:w="3575" w:type="pct"/>
            <w:noWrap w:val="0"/>
            <w:vAlign w:val="top"/>
          </w:tcPr>
          <w:p>
            <w:pPr>
              <w:spacing w:line="360" w:lineRule="auto"/>
              <w:ind w:firstLine="0" w:firstLineChars="0"/>
              <w:jc w:val="left"/>
              <w:rPr>
                <w:rFonts w:hint="eastAsia"/>
                <w:bCs/>
                <w:color w:val="auto"/>
                <w:sz w:val="24"/>
                <w:shd w:val="clear" w:color="auto" w:fill="auto"/>
              </w:rPr>
            </w:pPr>
            <w:r>
              <w:rPr>
                <w:rFonts w:hint="eastAsia"/>
                <w:bCs/>
                <w:color w:val="auto"/>
                <w:sz w:val="24"/>
                <w:shd w:val="clear" w:color="auto" w:fill="auto"/>
              </w:rPr>
              <w:t>物镜：平场消色差物镜</w:t>
            </w:r>
          </w:p>
          <w:p>
            <w:pPr>
              <w:spacing w:line="360" w:lineRule="auto"/>
              <w:ind w:left="420" w:leftChars="0" w:firstLine="420" w:firstLineChars="0"/>
              <w:jc w:val="left"/>
              <w:rPr>
                <w:rFonts w:ascii="宋体" w:hAnsi="宋体" w:eastAsia="宋体" w:cs="Times New Roman"/>
                <w:kern w:val="2"/>
                <w:sz w:val="21"/>
                <w:szCs w:val="21"/>
                <w:highlight w:val="none"/>
                <w:lang w:val="en-US" w:eastAsia="zh-CN" w:bidi="ar-SA"/>
              </w:rPr>
            </w:pPr>
            <w:r>
              <w:rPr>
                <w:rFonts w:hint="eastAsia"/>
                <w:bCs/>
                <w:color w:val="auto"/>
                <w:sz w:val="24"/>
                <w:shd w:val="clear" w:color="auto" w:fill="auto"/>
              </w:rPr>
              <w:t>4X（N.A.</w:t>
            </w:r>
            <w:r>
              <w:rPr>
                <w:rFonts w:hint="eastAsia" w:ascii="宋体" w:hAnsi="宋体" w:eastAsia="宋体" w:cs="宋体"/>
                <w:kern w:val="2"/>
                <w:sz w:val="20"/>
                <w:szCs w:val="20"/>
                <w:lang w:val="en-US" w:eastAsia="zh-CN" w:bidi="ar"/>
              </w:rPr>
              <w:t>≥</w:t>
            </w:r>
            <w:r>
              <w:rPr>
                <w:rFonts w:hint="eastAsia"/>
                <w:bCs/>
                <w:color w:val="auto"/>
                <w:sz w:val="24"/>
                <w:shd w:val="clear" w:color="auto" w:fill="auto"/>
              </w:rPr>
              <w:t>0.1，W.D</w:t>
            </w:r>
            <w:r>
              <w:rPr>
                <w:rFonts w:hint="eastAsia" w:ascii="宋体" w:hAnsi="宋体" w:eastAsia="宋体" w:cs="宋体"/>
                <w:kern w:val="2"/>
                <w:sz w:val="20"/>
                <w:szCs w:val="20"/>
                <w:lang w:val="en-US" w:eastAsia="zh-CN" w:bidi="ar"/>
              </w:rPr>
              <w:t>≥</w:t>
            </w:r>
            <w:r>
              <w:rPr>
                <w:rFonts w:hint="eastAsia"/>
                <w:bCs/>
                <w:color w:val="auto"/>
                <w:sz w:val="24"/>
                <w:shd w:val="clear" w:color="auto" w:fill="auto"/>
              </w:rPr>
              <w:t>18.5）</w:t>
            </w:r>
          </w:p>
          <w:p>
            <w:pPr>
              <w:spacing w:line="360" w:lineRule="auto"/>
              <w:ind w:left="420" w:leftChars="0" w:firstLine="420" w:firstLineChars="0"/>
              <w:jc w:val="left"/>
              <w:rPr>
                <w:rFonts w:ascii="宋体" w:hAnsi="宋体" w:eastAsia="宋体" w:cs="Times New Roman"/>
                <w:kern w:val="2"/>
                <w:sz w:val="21"/>
                <w:szCs w:val="21"/>
                <w:highlight w:val="none"/>
                <w:lang w:val="en-US" w:eastAsia="zh-CN" w:bidi="ar-SA"/>
              </w:rPr>
            </w:pPr>
            <w:r>
              <w:rPr>
                <w:rFonts w:hint="eastAsia"/>
                <w:bCs/>
                <w:color w:val="auto"/>
                <w:sz w:val="24"/>
                <w:shd w:val="clear" w:color="auto" w:fill="auto"/>
              </w:rPr>
              <w:t>10X（N.A</w:t>
            </w:r>
            <w:r>
              <w:rPr>
                <w:rFonts w:hint="eastAsia" w:ascii="宋体" w:hAnsi="宋体" w:eastAsia="宋体" w:cs="宋体"/>
                <w:kern w:val="2"/>
                <w:sz w:val="20"/>
                <w:szCs w:val="20"/>
                <w:lang w:val="en-US" w:eastAsia="zh-CN" w:bidi="ar"/>
              </w:rPr>
              <w:t>≥</w:t>
            </w:r>
            <w:r>
              <w:rPr>
                <w:rFonts w:hint="eastAsia"/>
                <w:bCs/>
                <w:color w:val="auto"/>
                <w:sz w:val="24"/>
                <w:shd w:val="clear" w:color="auto" w:fill="auto"/>
              </w:rPr>
              <w:t>0.25，W.D</w:t>
            </w:r>
            <w:r>
              <w:rPr>
                <w:rFonts w:hint="eastAsia" w:ascii="宋体" w:hAnsi="宋体" w:eastAsia="宋体" w:cs="宋体"/>
                <w:kern w:val="2"/>
                <w:sz w:val="20"/>
                <w:szCs w:val="20"/>
                <w:lang w:val="en-US" w:eastAsia="zh-CN" w:bidi="ar"/>
              </w:rPr>
              <w:t>≥</w:t>
            </w:r>
            <w:r>
              <w:rPr>
                <w:rFonts w:hint="eastAsia"/>
                <w:bCs/>
                <w:color w:val="auto"/>
                <w:sz w:val="24"/>
                <w:shd w:val="clear" w:color="auto" w:fill="auto"/>
              </w:rPr>
              <w:t>10.6）</w:t>
            </w:r>
          </w:p>
          <w:p>
            <w:pPr>
              <w:spacing w:line="360" w:lineRule="auto"/>
              <w:ind w:left="420" w:leftChars="0" w:firstLine="420" w:firstLineChars="0"/>
              <w:jc w:val="left"/>
              <w:rPr>
                <w:rFonts w:ascii="宋体" w:hAnsi="宋体" w:eastAsia="宋体" w:cs="Times New Roman"/>
                <w:kern w:val="2"/>
                <w:sz w:val="21"/>
                <w:szCs w:val="21"/>
                <w:highlight w:val="none"/>
                <w:lang w:val="en-US" w:eastAsia="zh-CN" w:bidi="ar-SA"/>
              </w:rPr>
            </w:pPr>
            <w:r>
              <w:rPr>
                <w:rFonts w:hint="eastAsia"/>
                <w:bCs/>
                <w:color w:val="auto"/>
                <w:sz w:val="24"/>
                <w:shd w:val="clear" w:color="auto" w:fill="auto"/>
              </w:rPr>
              <w:t>20X（N.A</w:t>
            </w:r>
            <w:r>
              <w:rPr>
                <w:rFonts w:hint="eastAsia" w:ascii="宋体" w:hAnsi="宋体" w:eastAsia="宋体" w:cs="宋体"/>
                <w:kern w:val="2"/>
                <w:sz w:val="20"/>
                <w:szCs w:val="20"/>
                <w:lang w:val="en-US" w:eastAsia="zh-CN" w:bidi="ar"/>
              </w:rPr>
              <w:t>≥</w:t>
            </w:r>
            <w:r>
              <w:rPr>
                <w:rFonts w:hint="eastAsia"/>
                <w:bCs/>
                <w:color w:val="auto"/>
                <w:sz w:val="24"/>
                <w:shd w:val="clear" w:color="auto" w:fill="auto"/>
              </w:rPr>
              <w:t>0.4，W.D</w:t>
            </w:r>
            <w:r>
              <w:rPr>
                <w:rFonts w:hint="eastAsia" w:ascii="宋体" w:hAnsi="宋体" w:eastAsia="宋体" w:cs="宋体"/>
                <w:kern w:val="2"/>
                <w:sz w:val="20"/>
                <w:szCs w:val="20"/>
                <w:lang w:val="en-US" w:eastAsia="zh-CN" w:bidi="ar"/>
              </w:rPr>
              <w:t>≥</w:t>
            </w:r>
            <w:r>
              <w:rPr>
                <w:rFonts w:hint="eastAsia"/>
                <w:bCs/>
                <w:color w:val="auto"/>
                <w:sz w:val="24"/>
                <w:shd w:val="clear" w:color="auto" w:fill="auto"/>
              </w:rPr>
              <w:t>1.2 ）</w:t>
            </w:r>
          </w:p>
          <w:p>
            <w:pPr>
              <w:spacing w:line="360" w:lineRule="auto"/>
              <w:ind w:left="420" w:leftChars="0" w:firstLine="420" w:firstLineChars="0"/>
              <w:jc w:val="left"/>
              <w:rPr>
                <w:rFonts w:ascii="宋体" w:hAnsi="宋体" w:eastAsia="宋体" w:cs="Times New Roman"/>
                <w:kern w:val="2"/>
                <w:sz w:val="21"/>
                <w:szCs w:val="21"/>
                <w:highlight w:val="none"/>
                <w:lang w:val="en-US" w:eastAsia="zh-CN" w:bidi="ar-SA"/>
              </w:rPr>
            </w:pPr>
            <w:r>
              <w:rPr>
                <w:rFonts w:hint="eastAsia"/>
                <w:bCs/>
                <w:color w:val="auto"/>
                <w:sz w:val="24"/>
                <w:shd w:val="clear" w:color="auto" w:fill="auto"/>
              </w:rPr>
              <w:t>40X（N.A</w:t>
            </w:r>
            <w:r>
              <w:rPr>
                <w:rFonts w:hint="eastAsia" w:ascii="宋体" w:hAnsi="宋体" w:eastAsia="宋体" w:cs="宋体"/>
                <w:kern w:val="2"/>
                <w:sz w:val="20"/>
                <w:szCs w:val="20"/>
                <w:lang w:val="en-US" w:eastAsia="zh-CN" w:bidi="ar"/>
              </w:rPr>
              <w:t>≥</w:t>
            </w:r>
            <w:r>
              <w:rPr>
                <w:rFonts w:hint="eastAsia"/>
                <w:bCs/>
                <w:color w:val="auto"/>
                <w:sz w:val="24"/>
                <w:shd w:val="clear" w:color="auto" w:fill="auto"/>
              </w:rPr>
              <w:t>0.65，W.D</w:t>
            </w:r>
            <w:r>
              <w:rPr>
                <w:rFonts w:hint="eastAsia" w:ascii="宋体" w:hAnsi="宋体" w:eastAsia="宋体" w:cs="宋体"/>
                <w:kern w:val="2"/>
                <w:sz w:val="20"/>
                <w:szCs w:val="20"/>
                <w:lang w:val="en-US" w:eastAsia="zh-CN" w:bidi="ar"/>
              </w:rPr>
              <w:t>≥</w:t>
            </w:r>
            <w:r>
              <w:rPr>
                <w:rFonts w:hint="eastAsia"/>
                <w:bCs/>
                <w:color w:val="auto"/>
                <w:sz w:val="24"/>
                <w:shd w:val="clear" w:color="auto" w:fill="auto"/>
              </w:rPr>
              <w:t>0.6 ）</w:t>
            </w:r>
          </w:p>
        </w:tc>
        <w:tc>
          <w:tcPr>
            <w:tcW w:w="631"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r>
              <w:rPr>
                <w:rFonts w:hint="eastAsia" w:ascii="宋体" w:hAnsi="宋体" w:cs="宋体"/>
                <w:kern w:val="2"/>
                <w:szCs w:val="21"/>
                <w:highlight w:val="none"/>
              </w:rPr>
              <w:t> </w:t>
            </w:r>
          </w:p>
          <w:p>
            <w:pPr>
              <w:widowControl/>
              <w:spacing w:line="360" w:lineRule="auto"/>
              <w:rPr>
                <w:rFonts w:hint="eastAsia" w:ascii="宋体" w:hAnsi="宋体" w:eastAsia="宋体" w:cs="宋体"/>
                <w:kern w:val="2"/>
                <w:sz w:val="21"/>
                <w:szCs w:val="21"/>
                <w:highlight w:val="none"/>
                <w:lang w:val="en-US" w:eastAsia="zh-CN" w:bidi="ar-SA"/>
              </w:rPr>
            </w:pPr>
            <w:r>
              <w:rPr>
                <w:rFonts w:hint="eastAsia" w:ascii="宋体" w:hAnsi="宋体" w:cs="宋体"/>
                <w:kern w:val="2"/>
                <w:szCs w:val="21"/>
                <w:highlight w:val="none"/>
              </w:rPr>
              <w:t> </w:t>
            </w:r>
          </w:p>
          <w:p>
            <w:pPr>
              <w:widowControl/>
              <w:spacing w:line="360" w:lineRule="auto"/>
              <w:rPr>
                <w:rFonts w:hint="eastAsia" w:ascii="宋体" w:hAnsi="宋体" w:eastAsia="宋体" w:cs="宋体"/>
                <w:kern w:val="2"/>
                <w:sz w:val="21"/>
                <w:szCs w:val="21"/>
                <w:highlight w:val="none"/>
                <w:lang w:val="en-US" w:eastAsia="zh-CN" w:bidi="ar-SA"/>
              </w:rPr>
            </w:pPr>
            <w:r>
              <w:rPr>
                <w:rFonts w:hint="eastAsia" w:ascii="宋体" w:hAnsi="宋体" w:cs="宋体"/>
                <w:kern w:val="2"/>
                <w:szCs w:val="21"/>
                <w:highlight w:val="none"/>
              </w:rPr>
              <w:t> </w:t>
            </w:r>
          </w:p>
          <w:p>
            <w:pPr>
              <w:widowControl/>
              <w:spacing w:line="360" w:lineRule="auto"/>
              <w:rPr>
                <w:rFonts w:hint="eastAsia" w:ascii="宋体" w:hAnsi="宋体" w:eastAsia="宋体" w:cs="宋体"/>
                <w:kern w:val="2"/>
                <w:sz w:val="21"/>
                <w:szCs w:val="21"/>
                <w:highlight w:val="none"/>
                <w:lang w:val="en-US" w:eastAsia="zh-CN" w:bidi="ar-SA"/>
              </w:rPr>
            </w:pPr>
            <w:r>
              <w:rPr>
                <w:rFonts w:hint="eastAsia" w:ascii="宋体" w:hAnsi="宋体" w:cs="宋体"/>
                <w:kern w:val="2"/>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center"/>
              <w:rPr>
                <w:rFonts w:ascii="宋体" w:hAnsi="宋体" w:eastAsia="宋体" w:cs="宋体"/>
                <w:kern w:val="2"/>
                <w:sz w:val="21"/>
                <w:szCs w:val="21"/>
                <w:highlight w:val="none"/>
                <w:lang w:val="en-US" w:eastAsia="zh-CN" w:bidi="ar-SA"/>
              </w:rPr>
            </w:pPr>
            <w:r>
              <w:rPr>
                <w:rFonts w:hint="eastAsia"/>
                <w:bCs/>
                <w:color w:val="auto"/>
                <w:sz w:val="24"/>
                <w:shd w:val="clear" w:color="auto" w:fill="auto"/>
              </w:rPr>
              <w:t>2</w:t>
            </w:r>
            <w:r>
              <w:rPr>
                <w:bCs/>
                <w:color w:val="auto"/>
                <w:sz w:val="24"/>
                <w:shd w:val="clear" w:color="auto" w:fill="auto"/>
              </w:rPr>
              <w:t>.</w:t>
            </w:r>
            <w:r>
              <w:rPr>
                <w:rFonts w:hint="eastAsia"/>
                <w:bCs/>
                <w:color w:val="auto"/>
                <w:sz w:val="24"/>
                <w:shd w:val="clear" w:color="auto" w:fill="auto"/>
              </w:rPr>
              <w:t>1</w:t>
            </w:r>
            <w:r>
              <w:rPr>
                <w:bCs/>
                <w:color w:val="auto"/>
                <w:sz w:val="24"/>
                <w:shd w:val="clear" w:color="auto" w:fill="auto"/>
              </w:rPr>
              <w:t>.</w:t>
            </w:r>
            <w:r>
              <w:rPr>
                <w:rFonts w:hint="eastAsia"/>
                <w:bCs/>
                <w:color w:val="auto"/>
                <w:sz w:val="24"/>
                <w:shd w:val="clear" w:color="auto" w:fill="auto"/>
              </w:rPr>
              <w:t>7</w:t>
            </w:r>
          </w:p>
        </w:tc>
        <w:tc>
          <w:tcPr>
            <w:tcW w:w="3575" w:type="pct"/>
            <w:noWrap w:val="0"/>
            <w:vAlign w:val="top"/>
          </w:tcPr>
          <w:p>
            <w:pPr>
              <w:widowControl/>
              <w:spacing w:line="360" w:lineRule="auto"/>
              <w:ind w:firstLine="0" w:firstLineChars="0"/>
              <w:jc w:val="left"/>
              <w:rPr>
                <w:rFonts w:ascii="宋体" w:hAnsi="宋体" w:eastAsia="宋体" w:cs="Times New Roman"/>
                <w:kern w:val="2"/>
                <w:sz w:val="21"/>
                <w:szCs w:val="21"/>
                <w:highlight w:val="none"/>
                <w:lang w:val="en-US" w:eastAsia="zh-CN" w:bidi="ar-SA"/>
              </w:rPr>
            </w:pPr>
            <w:r>
              <w:rPr>
                <w:rFonts w:hint="eastAsia"/>
                <w:bCs/>
                <w:color w:val="auto"/>
                <w:sz w:val="24"/>
                <w:shd w:val="clear" w:color="auto" w:fill="auto"/>
              </w:rPr>
              <w:t>载物台：陶瓷表面同轴载物台，带左手或右手低位驱动装置带有旋转装置和扭矩调节装置。手柄位置可旋转≥250度，X方向≤（±）35mm，Y轴方向≤（±）25mm。</w:t>
            </w:r>
          </w:p>
        </w:tc>
        <w:tc>
          <w:tcPr>
            <w:tcW w:w="631"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jc w:val="center"/>
              <w:rPr>
                <w:rFonts w:ascii="宋体" w:hAnsi="宋体" w:eastAsia="宋体" w:cs="宋体"/>
                <w:kern w:val="2"/>
                <w:sz w:val="21"/>
                <w:szCs w:val="21"/>
                <w:highlight w:val="none"/>
                <w:lang w:val="en-US" w:eastAsia="zh-CN" w:bidi="ar-SA"/>
              </w:rPr>
            </w:pPr>
            <w:r>
              <w:rPr>
                <w:rFonts w:hint="eastAsia"/>
                <w:bCs/>
                <w:color w:val="auto"/>
                <w:sz w:val="24"/>
                <w:shd w:val="clear" w:color="auto" w:fill="auto"/>
              </w:rPr>
              <w:t>2</w:t>
            </w:r>
            <w:r>
              <w:rPr>
                <w:bCs/>
                <w:color w:val="auto"/>
                <w:sz w:val="24"/>
                <w:shd w:val="clear" w:color="auto" w:fill="auto"/>
              </w:rPr>
              <w:t>.</w:t>
            </w:r>
            <w:r>
              <w:rPr>
                <w:rFonts w:hint="eastAsia"/>
                <w:bCs/>
                <w:color w:val="auto"/>
                <w:sz w:val="24"/>
                <w:shd w:val="clear" w:color="auto" w:fill="auto"/>
              </w:rPr>
              <w:t>1</w:t>
            </w:r>
            <w:r>
              <w:rPr>
                <w:bCs/>
                <w:color w:val="auto"/>
                <w:sz w:val="24"/>
                <w:shd w:val="clear" w:color="auto" w:fill="auto"/>
              </w:rPr>
              <w:t>.</w:t>
            </w:r>
            <w:r>
              <w:rPr>
                <w:rFonts w:hint="eastAsia"/>
                <w:bCs/>
                <w:color w:val="auto"/>
                <w:sz w:val="24"/>
                <w:shd w:val="clear" w:color="auto" w:fill="auto"/>
              </w:rPr>
              <w:t>8</w:t>
            </w:r>
          </w:p>
        </w:tc>
        <w:tc>
          <w:tcPr>
            <w:tcW w:w="3575" w:type="pct"/>
            <w:noWrap w:val="0"/>
            <w:vAlign w:val="top"/>
          </w:tcPr>
          <w:p>
            <w:pPr>
              <w:spacing w:line="360" w:lineRule="auto"/>
              <w:jc w:val="left"/>
              <w:rPr>
                <w:rFonts w:hint="eastAsia" w:ascii="宋体" w:hAnsi="宋体" w:eastAsia="宋体" w:cs="Times New Roman"/>
                <w:kern w:val="2"/>
                <w:sz w:val="21"/>
                <w:szCs w:val="21"/>
                <w:highlight w:val="none"/>
                <w:lang w:val="en-US" w:eastAsia="zh-CN" w:bidi="ar-SA"/>
              </w:rPr>
            </w:pPr>
            <w:r>
              <w:rPr>
                <w:rFonts w:hint="eastAsia"/>
                <w:bCs/>
                <w:color w:val="auto"/>
                <w:sz w:val="24"/>
                <w:shd w:val="clear" w:color="auto" w:fill="auto"/>
              </w:rPr>
              <w:t>目镜：10X宽视野目镜，带屈光度校准，视场数≥22</w:t>
            </w:r>
            <w:r>
              <w:rPr>
                <w:rFonts w:hint="eastAsia"/>
                <w:bCs/>
                <w:color w:val="auto"/>
                <w:sz w:val="24"/>
                <w:shd w:val="clear" w:color="auto" w:fill="auto"/>
                <w:lang w:eastAsia="zh-CN"/>
              </w:rPr>
              <w:t>。</w:t>
            </w:r>
          </w:p>
        </w:tc>
        <w:tc>
          <w:tcPr>
            <w:tcW w:w="631"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jc w:val="center"/>
              <w:rPr>
                <w:rFonts w:ascii="宋体" w:hAnsi="宋体" w:eastAsia="宋体" w:cs="宋体"/>
                <w:kern w:val="2"/>
                <w:sz w:val="21"/>
                <w:szCs w:val="21"/>
                <w:highlight w:val="none"/>
                <w:lang w:val="en-US" w:eastAsia="zh-CN" w:bidi="ar-SA"/>
              </w:rPr>
            </w:pPr>
            <w:r>
              <w:rPr>
                <w:rFonts w:hint="eastAsia"/>
                <w:bCs/>
                <w:color w:val="auto"/>
                <w:sz w:val="24"/>
                <w:shd w:val="clear" w:color="auto" w:fill="auto"/>
              </w:rPr>
              <w:t>2</w:t>
            </w:r>
            <w:r>
              <w:rPr>
                <w:bCs/>
                <w:color w:val="auto"/>
                <w:sz w:val="24"/>
                <w:shd w:val="clear" w:color="auto" w:fill="auto"/>
              </w:rPr>
              <w:t>.</w:t>
            </w:r>
            <w:r>
              <w:rPr>
                <w:rFonts w:hint="eastAsia"/>
                <w:bCs/>
                <w:color w:val="auto"/>
                <w:sz w:val="24"/>
                <w:shd w:val="clear" w:color="auto" w:fill="auto"/>
              </w:rPr>
              <w:t>1</w:t>
            </w:r>
            <w:r>
              <w:rPr>
                <w:bCs/>
                <w:color w:val="auto"/>
                <w:sz w:val="24"/>
                <w:shd w:val="clear" w:color="auto" w:fill="auto"/>
              </w:rPr>
              <w:t>.9</w:t>
            </w:r>
          </w:p>
        </w:tc>
        <w:tc>
          <w:tcPr>
            <w:tcW w:w="3575" w:type="pct"/>
            <w:noWrap w:val="0"/>
            <w:vAlign w:val="top"/>
          </w:tcPr>
          <w:p>
            <w:pPr>
              <w:spacing w:line="360" w:lineRule="auto"/>
              <w:jc w:val="left"/>
              <w:rPr>
                <w:rFonts w:ascii="宋体" w:hAnsi="宋体" w:eastAsia="宋体" w:cs="Times New Roman"/>
                <w:kern w:val="2"/>
                <w:sz w:val="21"/>
                <w:szCs w:val="21"/>
                <w:highlight w:val="none"/>
                <w:lang w:val="en-US" w:eastAsia="zh-CN" w:bidi="ar-SA"/>
              </w:rPr>
            </w:pPr>
            <w:r>
              <w:rPr>
                <w:rFonts w:hint="eastAsia"/>
                <w:bCs/>
                <w:color w:val="auto"/>
                <w:sz w:val="24"/>
                <w:shd w:val="clear" w:color="auto" w:fill="auto"/>
              </w:rPr>
              <w:t>物镜转换器：</w:t>
            </w:r>
            <w:r>
              <w:rPr>
                <w:rFonts w:hint="eastAsia"/>
                <w:bCs/>
                <w:color w:val="auto"/>
                <w:sz w:val="24"/>
                <w:shd w:val="clear" w:color="auto" w:fill="auto"/>
                <w:lang w:val="en-US" w:eastAsia="zh-CN"/>
              </w:rPr>
              <w:t>六</w:t>
            </w:r>
            <w:r>
              <w:rPr>
                <w:rFonts w:hint="eastAsia"/>
                <w:bCs/>
                <w:color w:val="auto"/>
                <w:sz w:val="24"/>
                <w:shd w:val="clear" w:color="auto" w:fill="auto"/>
              </w:rPr>
              <w:t>孔</w:t>
            </w:r>
            <w:r>
              <w:rPr>
                <w:rFonts w:hint="eastAsia"/>
                <w:bCs/>
                <w:color w:val="auto"/>
                <w:sz w:val="24"/>
                <w:shd w:val="clear" w:color="auto" w:fill="auto"/>
                <w:lang w:val="en-US" w:eastAsia="zh-CN"/>
              </w:rPr>
              <w:t>及以上</w:t>
            </w:r>
            <w:r>
              <w:rPr>
                <w:rFonts w:hint="eastAsia"/>
                <w:bCs/>
                <w:color w:val="auto"/>
                <w:sz w:val="24"/>
                <w:shd w:val="clear" w:color="auto" w:fill="auto"/>
              </w:rPr>
              <w:t>物镜转换器</w:t>
            </w:r>
          </w:p>
        </w:tc>
        <w:tc>
          <w:tcPr>
            <w:tcW w:w="631"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jc w:val="center"/>
              <w:rPr>
                <w:rFonts w:hint="eastAsia" w:eastAsia="宋体"/>
                <w:bCs/>
                <w:color w:val="auto"/>
                <w:sz w:val="24"/>
                <w:shd w:val="clear" w:color="auto" w:fill="auto"/>
                <w:lang w:val="en-US" w:eastAsia="zh-CN"/>
              </w:rPr>
            </w:pPr>
            <w:r>
              <w:rPr>
                <w:rFonts w:hint="eastAsia"/>
                <w:bCs/>
                <w:color w:val="auto"/>
                <w:sz w:val="24"/>
                <w:shd w:val="clear" w:color="auto" w:fill="auto"/>
                <w:lang w:val="en-US" w:eastAsia="zh-CN"/>
              </w:rPr>
              <w:t>3</w:t>
            </w:r>
          </w:p>
        </w:tc>
        <w:tc>
          <w:tcPr>
            <w:tcW w:w="3575" w:type="pct"/>
            <w:noWrap w:val="0"/>
            <w:vAlign w:val="top"/>
          </w:tcPr>
          <w:p>
            <w:pPr>
              <w:spacing w:line="360" w:lineRule="auto"/>
              <w:jc w:val="left"/>
              <w:rPr>
                <w:rFonts w:hint="eastAsia" w:eastAsia="宋体"/>
                <w:bCs/>
                <w:color w:val="auto"/>
                <w:sz w:val="24"/>
                <w:shd w:val="clear" w:color="auto" w:fill="auto"/>
                <w:lang w:val="en-US" w:eastAsia="zh-CN"/>
              </w:rPr>
            </w:pPr>
            <w:r>
              <w:rPr>
                <w:rFonts w:hint="eastAsia"/>
                <w:bCs/>
                <w:color w:val="auto"/>
                <w:sz w:val="24"/>
                <w:shd w:val="clear" w:color="auto" w:fill="auto"/>
                <w:lang w:val="en-US" w:eastAsia="zh-CN"/>
              </w:rPr>
              <w:t>摄像头</w:t>
            </w:r>
          </w:p>
        </w:tc>
        <w:tc>
          <w:tcPr>
            <w:tcW w:w="631"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jc w:val="center"/>
              <w:rPr>
                <w:rFonts w:hint="default" w:eastAsia="宋体"/>
                <w:bCs/>
                <w:color w:val="auto"/>
                <w:sz w:val="24"/>
                <w:shd w:val="clear" w:color="auto" w:fill="auto"/>
                <w:lang w:val="en-US" w:eastAsia="zh-CN"/>
              </w:rPr>
            </w:pPr>
            <w:r>
              <w:rPr>
                <w:rFonts w:hint="eastAsia"/>
                <w:bCs/>
                <w:color w:val="auto"/>
                <w:sz w:val="24"/>
                <w:shd w:val="clear" w:color="auto" w:fill="auto"/>
                <w:lang w:val="en-US" w:eastAsia="zh-CN"/>
              </w:rPr>
              <w:t>3.1</w:t>
            </w:r>
          </w:p>
        </w:tc>
        <w:tc>
          <w:tcPr>
            <w:tcW w:w="3575" w:type="pct"/>
            <w:noWrap w:val="0"/>
            <w:vAlign w:val="top"/>
          </w:tcPr>
          <w:p>
            <w:pPr>
              <w:spacing w:line="360" w:lineRule="auto"/>
              <w:jc w:val="left"/>
              <w:rPr>
                <w:rFonts w:hint="default" w:eastAsia="宋体"/>
                <w:bCs/>
                <w:color w:val="auto"/>
                <w:sz w:val="24"/>
                <w:shd w:val="clear" w:color="auto" w:fill="auto"/>
                <w:lang w:val="en-US" w:eastAsia="zh-CN"/>
              </w:rPr>
            </w:pPr>
            <w:r>
              <w:rPr>
                <w:rFonts w:hint="eastAsia"/>
                <w:bCs/>
                <w:color w:val="auto"/>
                <w:sz w:val="24"/>
                <w:shd w:val="clear" w:color="auto" w:fill="auto"/>
                <w:lang w:val="en-US" w:eastAsia="zh-CN"/>
              </w:rPr>
              <w:t>有效像素≤2592（H）*1944（V）</w:t>
            </w:r>
          </w:p>
        </w:tc>
        <w:tc>
          <w:tcPr>
            <w:tcW w:w="631"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jc w:val="center"/>
              <w:rPr>
                <w:rFonts w:hint="default" w:eastAsia="宋体"/>
                <w:bCs/>
                <w:color w:val="auto"/>
                <w:sz w:val="24"/>
                <w:shd w:val="clear" w:color="auto" w:fill="auto"/>
                <w:lang w:val="en-US" w:eastAsia="zh-CN"/>
              </w:rPr>
            </w:pPr>
            <w:r>
              <w:rPr>
                <w:rFonts w:hint="eastAsia"/>
                <w:bCs/>
                <w:color w:val="auto"/>
                <w:sz w:val="24"/>
                <w:shd w:val="clear" w:color="auto" w:fill="auto"/>
                <w:lang w:val="en-US" w:eastAsia="zh-CN"/>
              </w:rPr>
              <w:t>3.2</w:t>
            </w:r>
          </w:p>
        </w:tc>
        <w:tc>
          <w:tcPr>
            <w:tcW w:w="3575" w:type="pct"/>
            <w:noWrap w:val="0"/>
            <w:vAlign w:val="top"/>
          </w:tcPr>
          <w:p>
            <w:pPr>
              <w:spacing w:line="360" w:lineRule="auto"/>
              <w:jc w:val="left"/>
              <w:rPr>
                <w:rFonts w:hint="default" w:eastAsia="宋体"/>
                <w:bCs/>
                <w:color w:val="auto"/>
                <w:sz w:val="24"/>
                <w:shd w:val="clear" w:color="auto" w:fill="auto"/>
                <w:lang w:val="en-US" w:eastAsia="zh-CN"/>
              </w:rPr>
            </w:pPr>
            <w:r>
              <w:rPr>
                <w:rFonts w:hint="eastAsia"/>
                <w:bCs/>
                <w:color w:val="auto"/>
                <w:sz w:val="24"/>
                <w:shd w:val="clear" w:color="auto" w:fill="auto"/>
                <w:lang w:val="en-US" w:eastAsia="zh-CN"/>
              </w:rPr>
              <w:t>分辨率和帧率≤2592×1944，7.9FPS</w:t>
            </w:r>
          </w:p>
        </w:tc>
        <w:tc>
          <w:tcPr>
            <w:tcW w:w="631"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jc w:val="center"/>
              <w:rPr>
                <w:rFonts w:hint="default" w:eastAsia="宋体"/>
                <w:bCs/>
                <w:color w:val="auto"/>
                <w:sz w:val="24"/>
                <w:shd w:val="clear" w:color="auto" w:fill="auto"/>
                <w:lang w:val="en-US" w:eastAsia="zh-CN"/>
              </w:rPr>
            </w:pPr>
            <w:r>
              <w:rPr>
                <w:rFonts w:hint="eastAsia"/>
                <w:bCs/>
                <w:color w:val="auto"/>
                <w:sz w:val="24"/>
                <w:shd w:val="clear" w:color="auto" w:fill="auto"/>
                <w:lang w:val="en-US" w:eastAsia="zh-CN"/>
              </w:rPr>
              <w:t>3.3</w:t>
            </w:r>
          </w:p>
        </w:tc>
        <w:tc>
          <w:tcPr>
            <w:tcW w:w="3575" w:type="pct"/>
            <w:noWrap w:val="0"/>
            <w:vAlign w:val="top"/>
          </w:tcPr>
          <w:p>
            <w:pPr>
              <w:spacing w:line="360" w:lineRule="auto"/>
              <w:jc w:val="left"/>
              <w:rPr>
                <w:rFonts w:hint="default" w:eastAsia="宋体"/>
                <w:bCs/>
                <w:color w:val="auto"/>
                <w:sz w:val="24"/>
                <w:shd w:val="clear" w:color="auto" w:fill="auto"/>
                <w:lang w:val="en-US" w:eastAsia="zh-CN"/>
              </w:rPr>
            </w:pPr>
            <w:r>
              <w:rPr>
                <w:rFonts w:hint="eastAsia"/>
                <w:bCs/>
                <w:color w:val="auto"/>
                <w:sz w:val="24"/>
                <w:shd w:val="clear" w:color="auto" w:fill="auto"/>
                <w:lang w:val="en-US" w:eastAsia="zh-CN"/>
              </w:rPr>
              <w:t>像素尺寸2.2μm×2.2μm</w:t>
            </w:r>
          </w:p>
        </w:tc>
        <w:tc>
          <w:tcPr>
            <w:tcW w:w="631"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jc w:val="center"/>
              <w:rPr>
                <w:rFonts w:hint="default" w:eastAsia="宋体"/>
                <w:bCs/>
                <w:color w:val="auto"/>
                <w:sz w:val="24"/>
                <w:shd w:val="clear" w:color="auto" w:fill="auto"/>
                <w:lang w:val="en-US" w:eastAsia="zh-CN"/>
              </w:rPr>
            </w:pPr>
            <w:r>
              <w:rPr>
                <w:rFonts w:hint="eastAsia"/>
                <w:bCs/>
                <w:color w:val="auto"/>
                <w:sz w:val="24"/>
                <w:shd w:val="clear" w:color="auto" w:fill="auto"/>
                <w:lang w:val="en-US" w:eastAsia="zh-CN"/>
              </w:rPr>
              <w:t>3.4</w:t>
            </w:r>
          </w:p>
        </w:tc>
        <w:tc>
          <w:tcPr>
            <w:tcW w:w="3575" w:type="pct"/>
            <w:noWrap w:val="0"/>
            <w:vAlign w:val="top"/>
          </w:tcPr>
          <w:p>
            <w:pPr>
              <w:spacing w:line="360" w:lineRule="auto"/>
              <w:jc w:val="left"/>
              <w:rPr>
                <w:rFonts w:hint="default" w:eastAsia="宋体"/>
                <w:bCs/>
                <w:color w:val="auto"/>
                <w:sz w:val="24"/>
                <w:shd w:val="clear" w:color="auto" w:fill="auto"/>
                <w:lang w:val="en-US" w:eastAsia="zh-CN"/>
              </w:rPr>
            </w:pPr>
            <w:r>
              <w:rPr>
                <w:rFonts w:hint="eastAsia"/>
                <w:bCs/>
                <w:color w:val="auto"/>
                <w:sz w:val="24"/>
                <w:shd w:val="clear" w:color="auto" w:fill="auto"/>
                <w:lang w:val="en-US" w:eastAsia="zh-CN"/>
              </w:rPr>
              <w:t>白平衡：自动白平衡、手动白平衡（一次性白平衡/区域白平衡）</w:t>
            </w:r>
          </w:p>
        </w:tc>
        <w:tc>
          <w:tcPr>
            <w:tcW w:w="631"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jc w:val="center"/>
              <w:rPr>
                <w:rFonts w:hint="default" w:eastAsia="宋体"/>
                <w:bCs/>
                <w:color w:val="auto"/>
                <w:sz w:val="24"/>
                <w:shd w:val="clear" w:color="auto" w:fill="auto"/>
                <w:lang w:val="en-US" w:eastAsia="zh-CN"/>
              </w:rPr>
            </w:pPr>
            <w:r>
              <w:rPr>
                <w:rFonts w:hint="eastAsia"/>
                <w:bCs/>
                <w:color w:val="auto"/>
                <w:sz w:val="24"/>
                <w:shd w:val="clear" w:color="auto" w:fill="auto"/>
                <w:lang w:val="en-US" w:eastAsia="zh-CN"/>
              </w:rPr>
              <w:t>3.5</w:t>
            </w:r>
          </w:p>
        </w:tc>
        <w:tc>
          <w:tcPr>
            <w:tcW w:w="3575" w:type="pct"/>
            <w:noWrap w:val="0"/>
            <w:vAlign w:val="top"/>
          </w:tcPr>
          <w:p>
            <w:pPr>
              <w:spacing w:line="360" w:lineRule="auto"/>
              <w:jc w:val="left"/>
              <w:rPr>
                <w:rFonts w:hint="default" w:eastAsia="宋体"/>
                <w:bCs/>
                <w:color w:val="auto"/>
                <w:sz w:val="24"/>
                <w:shd w:val="clear" w:color="auto" w:fill="auto"/>
                <w:lang w:val="en-US" w:eastAsia="zh-CN"/>
              </w:rPr>
            </w:pPr>
            <w:r>
              <w:rPr>
                <w:rFonts w:hint="eastAsia"/>
                <w:bCs/>
                <w:color w:val="auto"/>
                <w:sz w:val="24"/>
                <w:shd w:val="clear" w:color="auto" w:fill="auto"/>
                <w:lang w:val="en-US" w:eastAsia="zh-CN"/>
              </w:rPr>
              <w:t>镜头接口：C/CS接口</w:t>
            </w:r>
          </w:p>
        </w:tc>
        <w:tc>
          <w:tcPr>
            <w:tcW w:w="631"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jc w:val="center"/>
              <w:rPr>
                <w:rFonts w:hint="default" w:eastAsia="宋体"/>
                <w:bCs/>
                <w:color w:val="auto"/>
                <w:sz w:val="24"/>
                <w:shd w:val="clear" w:color="auto" w:fill="auto"/>
                <w:lang w:val="en-US" w:eastAsia="zh-CN"/>
              </w:rPr>
            </w:pPr>
            <w:r>
              <w:rPr>
                <w:rFonts w:hint="eastAsia"/>
                <w:bCs/>
                <w:color w:val="auto"/>
                <w:sz w:val="24"/>
                <w:shd w:val="clear" w:color="auto" w:fill="auto"/>
                <w:lang w:val="en-US" w:eastAsia="zh-CN"/>
              </w:rPr>
              <w:t>3.6</w:t>
            </w:r>
          </w:p>
        </w:tc>
        <w:tc>
          <w:tcPr>
            <w:tcW w:w="3575" w:type="pct"/>
            <w:noWrap w:val="0"/>
            <w:vAlign w:val="top"/>
          </w:tcPr>
          <w:p>
            <w:pPr>
              <w:spacing w:line="360" w:lineRule="auto"/>
              <w:jc w:val="left"/>
              <w:rPr>
                <w:rFonts w:hint="default" w:eastAsia="宋体"/>
                <w:bCs/>
                <w:color w:val="auto"/>
                <w:sz w:val="24"/>
                <w:shd w:val="clear" w:color="auto" w:fill="auto"/>
                <w:lang w:val="en-US" w:eastAsia="zh-CN"/>
              </w:rPr>
            </w:pPr>
            <w:r>
              <w:rPr>
                <w:rFonts w:hint="eastAsia"/>
                <w:bCs/>
                <w:color w:val="auto"/>
                <w:sz w:val="24"/>
                <w:shd w:val="clear" w:color="auto" w:fill="auto"/>
                <w:lang w:val="en-US" w:eastAsia="zh-CN"/>
              </w:rPr>
              <w:t>支持系统：windows xp、win7/win8/win10（32/64位）</w:t>
            </w:r>
          </w:p>
        </w:tc>
        <w:tc>
          <w:tcPr>
            <w:tcW w:w="631"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jc w:val="center"/>
              <w:rPr>
                <w:rFonts w:ascii="宋体" w:hAnsi="宋体" w:eastAsia="宋体" w:cs="宋体"/>
                <w:kern w:val="2"/>
                <w:sz w:val="21"/>
                <w:szCs w:val="21"/>
                <w:highlight w:val="none"/>
                <w:lang w:val="en-US" w:eastAsia="zh-CN" w:bidi="ar-SA"/>
              </w:rPr>
            </w:pPr>
            <w:r>
              <w:rPr>
                <w:rFonts w:hint="eastAsia" w:ascii="宋体" w:hAnsi="宋体" w:eastAsia="宋体" w:cs="宋体"/>
                <w:b/>
                <w:bCs/>
                <w:color w:val="000000"/>
                <w:sz w:val="20"/>
                <w:szCs w:val="20"/>
                <w:lang w:eastAsia="zh-CN"/>
              </w:rPr>
              <w:t>▲</w:t>
            </w:r>
            <w:r>
              <w:rPr>
                <w:rFonts w:hint="eastAsia"/>
                <w:bCs/>
                <w:color w:val="auto"/>
                <w:sz w:val="24"/>
                <w:shd w:val="clear" w:color="auto" w:fill="auto"/>
              </w:rPr>
              <w:t>2</w:t>
            </w:r>
            <w:r>
              <w:rPr>
                <w:bCs/>
                <w:color w:val="auto"/>
                <w:sz w:val="24"/>
                <w:shd w:val="clear" w:color="auto" w:fill="auto"/>
              </w:rPr>
              <w:t>.</w:t>
            </w:r>
            <w:r>
              <w:rPr>
                <w:rFonts w:hint="eastAsia"/>
                <w:bCs/>
                <w:color w:val="auto"/>
                <w:sz w:val="24"/>
                <w:shd w:val="clear" w:color="auto" w:fill="auto"/>
              </w:rPr>
              <w:t>1</w:t>
            </w:r>
            <w:r>
              <w:rPr>
                <w:bCs/>
                <w:color w:val="auto"/>
                <w:sz w:val="24"/>
                <w:shd w:val="clear" w:color="auto" w:fill="auto"/>
              </w:rPr>
              <w:t>.</w:t>
            </w:r>
            <w:r>
              <w:rPr>
                <w:rFonts w:hint="eastAsia"/>
                <w:bCs/>
                <w:color w:val="auto"/>
                <w:sz w:val="24"/>
                <w:shd w:val="clear" w:color="auto" w:fill="auto"/>
              </w:rPr>
              <w:t xml:space="preserve">10  </w:t>
            </w:r>
          </w:p>
        </w:tc>
        <w:tc>
          <w:tcPr>
            <w:tcW w:w="3575" w:type="pct"/>
            <w:noWrap w:val="0"/>
            <w:vAlign w:val="top"/>
          </w:tcPr>
          <w:p>
            <w:pPr>
              <w:spacing w:line="360" w:lineRule="auto"/>
              <w:jc w:val="left"/>
              <w:rPr>
                <w:rFonts w:ascii="宋体" w:hAnsi="宋体" w:eastAsia="宋体" w:cs="Times New Roman"/>
                <w:kern w:val="2"/>
                <w:sz w:val="21"/>
                <w:szCs w:val="21"/>
                <w:highlight w:val="none"/>
                <w:lang w:val="en-US" w:eastAsia="zh-CN" w:bidi="ar-SA"/>
              </w:rPr>
            </w:pPr>
            <w:r>
              <w:rPr>
                <w:rFonts w:hint="eastAsia"/>
                <w:bCs/>
                <w:color w:val="auto"/>
                <w:sz w:val="24"/>
                <w:shd w:val="clear" w:color="auto" w:fill="auto"/>
              </w:rPr>
              <w:t>聚光镜：</w:t>
            </w:r>
            <w:r>
              <w:rPr>
                <w:rFonts w:hint="eastAsia"/>
                <w:bCs/>
                <w:color w:val="auto"/>
                <w:sz w:val="24"/>
                <w:shd w:val="clear" w:color="auto" w:fill="auto"/>
                <w:lang w:val="en-GB"/>
              </w:rPr>
              <w:t>阿贝</w:t>
            </w:r>
            <w:r>
              <w:rPr>
                <w:rFonts w:hint="eastAsia"/>
                <w:bCs/>
                <w:color w:val="auto"/>
                <w:sz w:val="24"/>
                <w:shd w:val="clear" w:color="auto" w:fill="auto"/>
              </w:rPr>
              <w:t>聚光镜，</w:t>
            </w:r>
            <w:r>
              <w:rPr>
                <w:rFonts w:hint="eastAsia"/>
                <w:bCs/>
                <w:color w:val="auto"/>
                <w:sz w:val="24"/>
                <w:shd w:val="clear" w:color="auto" w:fill="auto"/>
                <w:lang w:val="en-GB"/>
              </w:rPr>
              <w:t>N.A.≥1.1</w:t>
            </w:r>
          </w:p>
        </w:tc>
        <w:tc>
          <w:tcPr>
            <w:tcW w:w="631" w:type="pct"/>
            <w:noWrap w:val="0"/>
            <w:vAlign w:val="center"/>
          </w:tcPr>
          <w:p>
            <w:pPr>
              <w:widowControl/>
              <w:spacing w:line="360" w:lineRule="auto"/>
              <w:rPr>
                <w:rFonts w:hint="eastAsia"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color w:val="000000"/>
                <w:sz w:val="24"/>
              </w:rPr>
            </w:pPr>
            <w:r>
              <w:rPr>
                <w:rFonts w:hint="eastAsia" w:ascii="宋体" w:hAnsi="宋体" w:eastAsia="宋体" w:cs="Times New Roman"/>
                <w:b/>
                <w:bCs w:val="0"/>
                <w:szCs w:val="21"/>
                <w:highlight w:val="none"/>
              </w:rPr>
              <w:t>二</w:t>
            </w:r>
          </w:p>
        </w:tc>
        <w:tc>
          <w:tcPr>
            <w:tcW w:w="3575" w:type="pct"/>
            <w:noWrap w:val="0"/>
            <w:vAlign w:val="center"/>
          </w:tcPr>
          <w:p>
            <w:pPr>
              <w:pStyle w:val="20"/>
              <w:ind w:firstLine="0" w:firstLineChars="0"/>
              <w:jc w:val="left"/>
              <w:rPr>
                <w:color w:val="000000"/>
                <w:sz w:val="24"/>
              </w:rPr>
            </w:pPr>
            <w:r>
              <w:rPr>
                <w:rFonts w:hint="eastAsia" w:ascii="宋体" w:hAnsi="宋体" w:eastAsia="宋体" w:cs="Times New Roman"/>
                <w:b/>
                <w:bCs w:val="0"/>
                <w:szCs w:val="21"/>
                <w:highlight w:val="none"/>
              </w:rPr>
              <w:t>配置</w:t>
            </w:r>
          </w:p>
        </w:tc>
        <w:tc>
          <w:tcPr>
            <w:tcW w:w="631" w:type="pct"/>
            <w:noWrap w:val="0"/>
            <w:vAlign w:val="center"/>
          </w:tcPr>
          <w:p>
            <w:pPr>
              <w:pStyle w:val="20"/>
              <w:ind w:firstLine="0" w:firstLineChars="0"/>
              <w:jc w:val="left"/>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color w:val="FF0000"/>
                <w:sz w:val="24"/>
                <w:highlight w:val="none"/>
              </w:rPr>
            </w:pPr>
            <w:r>
              <w:rPr>
                <w:rFonts w:hint="eastAsia" w:ascii="宋体" w:hAnsi="宋体" w:eastAsia="宋体" w:cs="Times New Roman"/>
                <w:b w:val="0"/>
                <w:bCs/>
                <w:szCs w:val="21"/>
                <w:highlight w:val="none"/>
              </w:rPr>
              <w:t>1、</w:t>
            </w:r>
          </w:p>
        </w:tc>
        <w:tc>
          <w:tcPr>
            <w:tcW w:w="3575" w:type="pct"/>
            <w:noWrap w:val="0"/>
            <w:vAlign w:val="center"/>
          </w:tcPr>
          <w:p>
            <w:pPr>
              <w:pStyle w:val="20"/>
              <w:ind w:firstLine="0" w:firstLineChars="0"/>
              <w:jc w:val="left"/>
              <w:rPr>
                <w:color w:val="auto"/>
                <w:sz w:val="24"/>
                <w:highlight w:val="none"/>
              </w:rPr>
            </w:pPr>
            <w:r>
              <w:rPr>
                <w:rFonts w:hint="eastAsia" w:ascii="宋体" w:hAnsi="宋体" w:eastAsia="宋体" w:cs="Times New Roman"/>
                <w:b w:val="0"/>
                <w:bCs/>
                <w:color w:val="auto"/>
                <w:szCs w:val="21"/>
                <w:highlight w:val="none"/>
              </w:rPr>
              <w:t>数量：</w:t>
            </w:r>
            <w:r>
              <w:rPr>
                <w:rFonts w:hint="eastAsia" w:ascii="宋体" w:hAnsi="宋体" w:eastAsia="宋体" w:cs="Times New Roman"/>
                <w:b w:val="0"/>
                <w:bCs/>
                <w:color w:val="auto"/>
                <w:szCs w:val="21"/>
                <w:highlight w:val="none"/>
                <w:lang w:val="en-US" w:eastAsia="zh-CN"/>
              </w:rPr>
              <w:t>1</w:t>
            </w:r>
            <w:r>
              <w:rPr>
                <w:rFonts w:hint="eastAsia" w:ascii="宋体" w:hAnsi="宋体" w:eastAsia="宋体" w:cs="Times New Roman"/>
                <w:b w:val="0"/>
                <w:bCs/>
                <w:color w:val="auto"/>
                <w:szCs w:val="21"/>
                <w:highlight w:val="none"/>
              </w:rPr>
              <w:t>套</w:t>
            </w:r>
          </w:p>
        </w:tc>
        <w:tc>
          <w:tcPr>
            <w:tcW w:w="631" w:type="pct"/>
            <w:noWrap w:val="0"/>
            <w:vAlign w:val="center"/>
          </w:tcPr>
          <w:p>
            <w:pPr>
              <w:pStyle w:val="20"/>
              <w:ind w:firstLine="0" w:firstLineChars="0"/>
              <w:jc w:val="left"/>
              <w:rPr>
                <w:rStyle w:val="25"/>
                <w:rFonts w:ascii="Times New Roman" w:hAnsi="Times New Roman"/>
                <w:bCs w:val="0"/>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color w:val="FF0000"/>
                <w:sz w:val="24"/>
                <w:highlight w:val="none"/>
              </w:rPr>
            </w:pPr>
            <w:r>
              <w:rPr>
                <w:rFonts w:hint="eastAsia" w:ascii="宋体" w:hAnsi="宋体" w:eastAsia="宋体" w:cs="Times New Roman"/>
                <w:b w:val="0"/>
                <w:bCs/>
                <w:szCs w:val="21"/>
                <w:highlight w:val="none"/>
              </w:rPr>
              <w:t>2、</w:t>
            </w:r>
          </w:p>
        </w:tc>
        <w:tc>
          <w:tcPr>
            <w:tcW w:w="3575" w:type="pct"/>
            <w:noWrap w:val="0"/>
            <w:vAlign w:val="center"/>
          </w:tcPr>
          <w:p>
            <w:pPr>
              <w:pStyle w:val="20"/>
              <w:ind w:firstLine="0" w:firstLineChars="0"/>
              <w:jc w:val="left"/>
              <w:rPr>
                <w:rFonts w:hint="default" w:eastAsia="宋体"/>
                <w:color w:val="auto"/>
                <w:sz w:val="24"/>
                <w:highlight w:val="none"/>
                <w:lang w:val="en-US" w:eastAsia="zh-CN"/>
              </w:rPr>
            </w:pPr>
            <w:r>
              <w:rPr>
                <w:rFonts w:hint="eastAsia"/>
                <w:color w:val="auto"/>
                <w:sz w:val="24"/>
                <w:highlight w:val="none"/>
                <w:lang w:val="en-US" w:eastAsia="zh-CN"/>
              </w:rPr>
              <w:t>显微镜主机1套</w:t>
            </w:r>
          </w:p>
        </w:tc>
        <w:tc>
          <w:tcPr>
            <w:tcW w:w="631" w:type="pct"/>
            <w:noWrap w:val="0"/>
            <w:vAlign w:val="center"/>
          </w:tcPr>
          <w:p>
            <w:pPr>
              <w:pStyle w:val="20"/>
              <w:ind w:firstLine="0" w:firstLineChars="0"/>
              <w:jc w:val="left"/>
              <w:rPr>
                <w:rStyle w:val="25"/>
                <w:rFonts w:ascii="Times New Roman" w:hAnsi="Times New Roman"/>
                <w:bCs w:val="0"/>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eastAsia" w:ascii="宋体" w:hAnsi="宋体" w:eastAsia="宋体" w:cs="Times New Roman"/>
                <w:b w:val="0"/>
                <w:bCs/>
                <w:szCs w:val="21"/>
                <w:highlight w:val="none"/>
                <w:lang w:val="en-US" w:eastAsia="zh-CN"/>
              </w:rPr>
            </w:pPr>
            <w:r>
              <w:rPr>
                <w:rFonts w:hint="eastAsia" w:ascii="宋体" w:hAnsi="宋体" w:cs="Times New Roman"/>
                <w:b w:val="0"/>
                <w:bCs/>
                <w:szCs w:val="21"/>
                <w:highlight w:val="none"/>
                <w:lang w:val="en-US" w:eastAsia="zh-CN"/>
              </w:rPr>
              <w:t>3、</w:t>
            </w:r>
          </w:p>
        </w:tc>
        <w:tc>
          <w:tcPr>
            <w:tcW w:w="3575" w:type="pct"/>
            <w:noWrap w:val="0"/>
            <w:vAlign w:val="center"/>
          </w:tcPr>
          <w:p>
            <w:pPr>
              <w:pStyle w:val="20"/>
              <w:ind w:firstLine="0" w:firstLineChars="0"/>
              <w:jc w:val="left"/>
              <w:rPr>
                <w:rFonts w:hint="default"/>
                <w:color w:val="auto"/>
                <w:sz w:val="24"/>
                <w:highlight w:val="none"/>
                <w:lang w:val="en-US" w:eastAsia="zh-CN"/>
              </w:rPr>
            </w:pPr>
            <w:r>
              <w:rPr>
                <w:rFonts w:hint="eastAsia"/>
                <w:color w:val="auto"/>
                <w:sz w:val="24"/>
                <w:highlight w:val="none"/>
                <w:lang w:val="en-US" w:eastAsia="zh-CN"/>
              </w:rPr>
              <w:t>三目观察筒1套</w:t>
            </w:r>
          </w:p>
        </w:tc>
        <w:tc>
          <w:tcPr>
            <w:tcW w:w="631" w:type="pct"/>
            <w:noWrap w:val="0"/>
            <w:vAlign w:val="center"/>
          </w:tcPr>
          <w:p>
            <w:pPr>
              <w:pStyle w:val="20"/>
              <w:ind w:firstLine="0" w:firstLineChars="0"/>
              <w:jc w:val="left"/>
              <w:rPr>
                <w:rStyle w:val="25"/>
                <w:rFonts w:ascii="Times New Roman" w:hAnsi="Times New Roman"/>
                <w:bCs w:val="0"/>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default" w:ascii="宋体" w:hAnsi="宋体" w:eastAsia="宋体" w:cs="Times New Roman"/>
                <w:b w:val="0"/>
                <w:bCs/>
                <w:szCs w:val="21"/>
                <w:highlight w:val="none"/>
                <w:lang w:val="en-US" w:eastAsia="zh-CN"/>
              </w:rPr>
            </w:pPr>
            <w:r>
              <w:rPr>
                <w:rFonts w:hint="eastAsia" w:ascii="宋体" w:hAnsi="宋体" w:cs="Times New Roman"/>
                <w:b w:val="0"/>
                <w:bCs/>
                <w:szCs w:val="21"/>
                <w:highlight w:val="none"/>
                <w:lang w:val="en-US" w:eastAsia="zh-CN"/>
              </w:rPr>
              <w:t>4、</w:t>
            </w:r>
          </w:p>
        </w:tc>
        <w:tc>
          <w:tcPr>
            <w:tcW w:w="3575" w:type="pct"/>
            <w:noWrap w:val="0"/>
            <w:vAlign w:val="center"/>
          </w:tcPr>
          <w:p>
            <w:pPr>
              <w:pStyle w:val="20"/>
              <w:ind w:firstLine="0" w:firstLineChars="0"/>
              <w:jc w:val="left"/>
              <w:rPr>
                <w:rFonts w:hint="default" w:ascii="宋体" w:hAnsi="宋体" w:eastAsia="宋体" w:cs="Times New Roman"/>
                <w:b w:val="0"/>
                <w:bCs/>
                <w:color w:val="auto"/>
                <w:szCs w:val="21"/>
                <w:highlight w:val="none"/>
                <w:lang w:val="en-US" w:eastAsia="zh-CN"/>
              </w:rPr>
            </w:pPr>
            <w:r>
              <w:rPr>
                <w:rFonts w:hint="eastAsia" w:ascii="宋体" w:hAnsi="宋体" w:cs="Times New Roman"/>
                <w:b w:val="0"/>
                <w:bCs/>
                <w:color w:val="auto"/>
                <w:szCs w:val="21"/>
                <w:highlight w:val="none"/>
                <w:lang w:val="en-US" w:eastAsia="zh-CN"/>
              </w:rPr>
              <w:t>LED光源1套</w:t>
            </w:r>
          </w:p>
        </w:tc>
        <w:tc>
          <w:tcPr>
            <w:tcW w:w="631" w:type="pct"/>
            <w:noWrap w:val="0"/>
            <w:vAlign w:val="center"/>
          </w:tcPr>
          <w:p>
            <w:pPr>
              <w:pStyle w:val="20"/>
              <w:ind w:firstLine="0" w:firstLineChars="0"/>
              <w:jc w:val="left"/>
              <w:rPr>
                <w:rStyle w:val="25"/>
                <w:rFonts w:ascii="Times New Roman" w:hAnsi="Times New Roman"/>
                <w:bCs w:val="0"/>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default" w:ascii="宋体" w:hAnsi="宋体" w:eastAsia="宋体" w:cs="Times New Roman"/>
                <w:b w:val="0"/>
                <w:bCs/>
                <w:szCs w:val="21"/>
                <w:highlight w:val="none"/>
                <w:lang w:val="en-US" w:eastAsia="zh-CN"/>
              </w:rPr>
            </w:pPr>
            <w:r>
              <w:rPr>
                <w:rFonts w:hint="eastAsia" w:ascii="宋体" w:hAnsi="宋体" w:cs="Times New Roman"/>
                <w:b w:val="0"/>
                <w:bCs/>
                <w:szCs w:val="21"/>
                <w:highlight w:val="none"/>
                <w:lang w:val="en-US" w:eastAsia="zh-CN"/>
              </w:rPr>
              <w:t>5、</w:t>
            </w:r>
          </w:p>
        </w:tc>
        <w:tc>
          <w:tcPr>
            <w:tcW w:w="3575" w:type="pct"/>
            <w:noWrap w:val="0"/>
            <w:vAlign w:val="center"/>
          </w:tcPr>
          <w:p>
            <w:pPr>
              <w:pStyle w:val="20"/>
              <w:ind w:firstLine="0" w:firstLineChars="0"/>
              <w:jc w:val="left"/>
              <w:rPr>
                <w:rFonts w:hint="default"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物镜4X、10X、20X、40X</w:t>
            </w:r>
            <w:r>
              <w:rPr>
                <w:rFonts w:hint="eastAsia" w:ascii="宋体" w:hAnsi="宋体" w:cs="Times New Roman"/>
                <w:b w:val="0"/>
                <w:bCs/>
                <w:color w:val="auto"/>
                <w:szCs w:val="21"/>
                <w:highlight w:val="none"/>
                <w:lang w:val="en-US" w:eastAsia="zh-CN"/>
              </w:rPr>
              <w:t>一套</w:t>
            </w:r>
          </w:p>
        </w:tc>
        <w:tc>
          <w:tcPr>
            <w:tcW w:w="631" w:type="pct"/>
            <w:noWrap w:val="0"/>
            <w:vAlign w:val="center"/>
          </w:tcPr>
          <w:p>
            <w:pPr>
              <w:pStyle w:val="20"/>
              <w:ind w:firstLine="0" w:firstLineChars="0"/>
              <w:jc w:val="left"/>
              <w:rPr>
                <w:rStyle w:val="25"/>
                <w:rFonts w:ascii="Times New Roman" w:hAnsi="Times New Roman"/>
                <w:bCs w:val="0"/>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default" w:ascii="宋体" w:hAnsi="宋体" w:eastAsia="宋体" w:cs="Times New Roman"/>
                <w:b w:val="0"/>
                <w:bCs/>
                <w:szCs w:val="21"/>
                <w:highlight w:val="none"/>
                <w:lang w:val="en-US" w:eastAsia="zh-CN"/>
              </w:rPr>
            </w:pPr>
            <w:r>
              <w:rPr>
                <w:rFonts w:hint="eastAsia" w:ascii="宋体" w:hAnsi="宋体" w:cs="Times New Roman"/>
                <w:b w:val="0"/>
                <w:bCs/>
                <w:szCs w:val="21"/>
                <w:highlight w:val="none"/>
                <w:lang w:val="en-US" w:eastAsia="zh-CN"/>
              </w:rPr>
              <w:t>6、</w:t>
            </w:r>
          </w:p>
        </w:tc>
        <w:tc>
          <w:tcPr>
            <w:tcW w:w="3575" w:type="pct"/>
            <w:noWrap w:val="0"/>
            <w:vAlign w:val="center"/>
          </w:tcPr>
          <w:p>
            <w:pPr>
              <w:pStyle w:val="20"/>
              <w:ind w:firstLine="0" w:firstLineChars="0"/>
              <w:jc w:val="left"/>
              <w:rPr>
                <w:rFonts w:hint="default" w:ascii="宋体" w:hAnsi="宋体" w:eastAsia="宋体" w:cs="Times New Roman"/>
                <w:b w:val="0"/>
                <w:bCs/>
                <w:color w:val="auto"/>
                <w:szCs w:val="21"/>
                <w:highlight w:val="none"/>
                <w:lang w:val="en-US" w:eastAsia="zh-CN"/>
              </w:rPr>
            </w:pPr>
            <w:r>
              <w:rPr>
                <w:rFonts w:hint="eastAsia" w:ascii="宋体" w:hAnsi="宋体" w:cs="Times New Roman"/>
                <w:b w:val="0"/>
                <w:bCs/>
                <w:color w:val="auto"/>
                <w:szCs w:val="21"/>
                <w:highlight w:val="none"/>
                <w:lang w:val="en-US" w:eastAsia="zh-CN"/>
              </w:rPr>
              <w:t>六孔物镜转换器一个</w:t>
            </w:r>
          </w:p>
        </w:tc>
        <w:tc>
          <w:tcPr>
            <w:tcW w:w="631" w:type="pct"/>
            <w:noWrap w:val="0"/>
            <w:vAlign w:val="center"/>
          </w:tcPr>
          <w:p>
            <w:pPr>
              <w:pStyle w:val="20"/>
              <w:ind w:firstLine="0" w:firstLineChars="0"/>
              <w:jc w:val="left"/>
              <w:rPr>
                <w:rStyle w:val="25"/>
                <w:rFonts w:ascii="Times New Roman" w:hAnsi="Times New Roman"/>
                <w:bCs w:val="0"/>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default" w:ascii="宋体" w:hAnsi="宋体" w:cs="Times New Roman"/>
                <w:b w:val="0"/>
                <w:bCs/>
                <w:szCs w:val="21"/>
                <w:highlight w:val="none"/>
                <w:lang w:val="en-US" w:eastAsia="zh-CN"/>
              </w:rPr>
            </w:pPr>
            <w:r>
              <w:rPr>
                <w:rFonts w:hint="eastAsia" w:ascii="宋体" w:hAnsi="宋体" w:cs="Times New Roman"/>
                <w:b w:val="0"/>
                <w:bCs/>
                <w:szCs w:val="21"/>
                <w:highlight w:val="none"/>
                <w:lang w:val="en-US" w:eastAsia="zh-CN"/>
              </w:rPr>
              <w:t>7、</w:t>
            </w:r>
          </w:p>
        </w:tc>
        <w:tc>
          <w:tcPr>
            <w:tcW w:w="3575" w:type="pct"/>
            <w:noWrap w:val="0"/>
            <w:vAlign w:val="center"/>
          </w:tcPr>
          <w:p>
            <w:pPr>
              <w:pStyle w:val="20"/>
              <w:ind w:firstLine="0" w:firstLineChars="0"/>
              <w:jc w:val="left"/>
              <w:rPr>
                <w:rFonts w:hint="eastAsia" w:ascii="宋体" w:hAnsi="宋体" w:cs="Times New Roman"/>
                <w:b w:val="0"/>
                <w:bCs/>
                <w:color w:val="auto"/>
                <w:szCs w:val="21"/>
                <w:highlight w:val="none"/>
                <w:lang w:val="en-US" w:eastAsia="zh-CN"/>
              </w:rPr>
            </w:pPr>
            <w:r>
              <w:rPr>
                <w:rFonts w:hint="eastAsia" w:ascii="宋体" w:hAnsi="宋体" w:cs="Times New Roman"/>
                <w:b w:val="0"/>
                <w:bCs/>
                <w:color w:val="auto"/>
                <w:szCs w:val="21"/>
                <w:highlight w:val="none"/>
                <w:lang w:val="en-US" w:eastAsia="zh-CN"/>
              </w:rPr>
              <w:t>聚光镜1套</w:t>
            </w:r>
          </w:p>
        </w:tc>
        <w:tc>
          <w:tcPr>
            <w:tcW w:w="631" w:type="pct"/>
            <w:noWrap w:val="0"/>
            <w:vAlign w:val="center"/>
          </w:tcPr>
          <w:p>
            <w:pPr>
              <w:pStyle w:val="20"/>
              <w:ind w:firstLine="0" w:firstLineChars="0"/>
              <w:jc w:val="left"/>
              <w:rPr>
                <w:rStyle w:val="25"/>
                <w:rFonts w:ascii="Times New Roman" w:hAnsi="Times New Roman"/>
                <w:bCs w:val="0"/>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default" w:ascii="宋体" w:hAnsi="宋体" w:cs="Times New Roman"/>
                <w:b w:val="0"/>
                <w:bCs/>
                <w:szCs w:val="21"/>
                <w:highlight w:val="none"/>
                <w:lang w:val="en-US" w:eastAsia="zh-CN"/>
              </w:rPr>
            </w:pPr>
            <w:r>
              <w:rPr>
                <w:rFonts w:hint="eastAsia" w:ascii="宋体" w:hAnsi="宋体" w:cs="Times New Roman"/>
                <w:b w:val="0"/>
                <w:bCs/>
                <w:szCs w:val="21"/>
                <w:highlight w:val="none"/>
                <w:lang w:val="en-US" w:eastAsia="zh-CN"/>
              </w:rPr>
              <w:t>8、</w:t>
            </w:r>
          </w:p>
        </w:tc>
        <w:tc>
          <w:tcPr>
            <w:tcW w:w="3575" w:type="pct"/>
            <w:noWrap w:val="0"/>
            <w:vAlign w:val="center"/>
          </w:tcPr>
          <w:p>
            <w:pPr>
              <w:pStyle w:val="20"/>
              <w:ind w:firstLine="0" w:firstLineChars="0"/>
              <w:jc w:val="left"/>
              <w:rPr>
                <w:rFonts w:hint="default" w:ascii="宋体" w:hAnsi="宋体" w:cs="Times New Roman"/>
                <w:b w:val="0"/>
                <w:bCs/>
                <w:color w:val="auto"/>
                <w:szCs w:val="21"/>
                <w:highlight w:val="none"/>
                <w:lang w:val="en-US" w:eastAsia="zh-CN"/>
              </w:rPr>
            </w:pPr>
            <w:r>
              <w:rPr>
                <w:rFonts w:hint="eastAsia" w:ascii="宋体" w:hAnsi="宋体" w:cs="Times New Roman"/>
                <w:b w:val="0"/>
                <w:bCs/>
                <w:color w:val="auto"/>
                <w:szCs w:val="21"/>
                <w:highlight w:val="none"/>
                <w:lang w:val="en-US" w:eastAsia="zh-CN"/>
              </w:rPr>
              <w:t>摄像头一套</w:t>
            </w:r>
          </w:p>
        </w:tc>
        <w:tc>
          <w:tcPr>
            <w:tcW w:w="631" w:type="pct"/>
            <w:noWrap w:val="0"/>
            <w:vAlign w:val="center"/>
          </w:tcPr>
          <w:p>
            <w:pPr>
              <w:pStyle w:val="20"/>
              <w:ind w:firstLine="0" w:firstLineChars="0"/>
              <w:jc w:val="left"/>
              <w:rPr>
                <w:rStyle w:val="25"/>
                <w:rFonts w:ascii="Times New Roman" w:hAnsi="Times New Roman"/>
                <w:bCs w:val="0"/>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Times New Roman"/>
                <w:b w:val="0"/>
                <w:bCs/>
                <w:szCs w:val="21"/>
                <w:highlight w:val="none"/>
              </w:rPr>
              <w:t>三</w:t>
            </w:r>
          </w:p>
        </w:tc>
        <w:tc>
          <w:tcPr>
            <w:tcW w:w="3575" w:type="pct"/>
            <w:noWrap w:val="0"/>
            <w:vAlign w:val="center"/>
          </w:tcPr>
          <w:p>
            <w:pPr>
              <w:pStyle w:val="20"/>
              <w:ind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Times New Roman"/>
                <w:b w:val="0"/>
                <w:bCs/>
                <w:szCs w:val="21"/>
                <w:highlight w:val="none"/>
              </w:rPr>
              <w:t>其他</w:t>
            </w:r>
          </w:p>
        </w:tc>
        <w:tc>
          <w:tcPr>
            <w:tcW w:w="631" w:type="pct"/>
            <w:noWrap w:val="0"/>
            <w:vAlign w:val="center"/>
          </w:tcPr>
          <w:p>
            <w:pPr>
              <w:pStyle w:val="20"/>
              <w:ind w:firstLine="0" w:firstLineChars="0"/>
              <w:jc w:val="left"/>
              <w:rPr>
                <w:rFonts w:hint="eastAsia" w:ascii="宋体" w:hAnsi="宋体" w:eastAsia="宋体" w:cs="宋体"/>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1</w:t>
            </w:r>
          </w:p>
        </w:tc>
        <w:tc>
          <w:tcPr>
            <w:tcW w:w="3575"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投标产品验收合格后保修≥</w:t>
            </w:r>
            <w:r>
              <w:rPr>
                <w:rFonts w:hint="eastAsia" w:ascii="宋体" w:hAnsi="宋体" w:eastAsia="宋体" w:cs="Times New Roman"/>
                <w:b w:val="0"/>
                <w:bCs/>
                <w:color w:val="FF0000"/>
                <w:szCs w:val="21"/>
                <w:highlight w:val="none"/>
                <w:lang w:val="en-US" w:eastAsia="zh-CN"/>
              </w:rPr>
              <w:t>5</w:t>
            </w:r>
            <w:r>
              <w:rPr>
                <w:rFonts w:hint="eastAsia" w:ascii="宋体" w:hAnsi="宋体" w:eastAsia="宋体" w:cs="Times New Roman"/>
                <w:b w:val="0"/>
                <w:bCs/>
                <w:color w:val="FF0000"/>
                <w:szCs w:val="21"/>
                <w:highlight w:val="none"/>
              </w:rPr>
              <w:t>年</w:t>
            </w:r>
            <w:r>
              <w:rPr>
                <w:rFonts w:hint="eastAsia" w:ascii="宋体" w:hAnsi="宋体" w:eastAsia="宋体" w:cs="Times New Roman"/>
                <w:b w:val="0"/>
                <w:bCs/>
                <w:szCs w:val="21"/>
                <w:highlight w:val="none"/>
              </w:rPr>
              <w:t>，投标时提供制造商原厂保修证明。整机终生免费提供软件功能升级服务，并及时提供设备新功能和临床应用的资料。零配件在该设备停产后仍需保证10年的供应。。</w:t>
            </w:r>
          </w:p>
        </w:tc>
        <w:tc>
          <w:tcPr>
            <w:tcW w:w="631" w:type="pct"/>
            <w:noWrap w:val="0"/>
            <w:vAlign w:val="center"/>
          </w:tcPr>
          <w:p>
            <w:pPr>
              <w:pStyle w:val="20"/>
              <w:ind w:firstLine="0" w:firstLineChars="0"/>
              <w:jc w:val="left"/>
              <w:rPr>
                <w:rFonts w:hint="eastAsia" w:ascii="宋体" w:hAnsi="宋体" w:eastAsia="宋体" w:cs="宋体"/>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2</w:t>
            </w:r>
          </w:p>
        </w:tc>
        <w:tc>
          <w:tcPr>
            <w:tcW w:w="3575"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报出保后每套设备的年保修价格（允许非连保），不含在投标总价中，今后医院购买保修，制造商承诺不得高于此价格。</w:t>
            </w:r>
          </w:p>
        </w:tc>
        <w:tc>
          <w:tcPr>
            <w:tcW w:w="631" w:type="pct"/>
            <w:noWrap w:val="0"/>
            <w:vAlign w:val="center"/>
          </w:tcPr>
          <w:p>
            <w:pPr>
              <w:pStyle w:val="20"/>
              <w:ind w:firstLine="0" w:firstLineChars="0"/>
              <w:jc w:val="left"/>
              <w:rPr>
                <w:rFonts w:hint="eastAsia" w:ascii="宋体" w:hAnsi="宋体" w:eastAsia="宋体" w:cs="宋体"/>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3</w:t>
            </w:r>
          </w:p>
        </w:tc>
        <w:tc>
          <w:tcPr>
            <w:tcW w:w="3575"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合同签订后45天内到货，货物必须是</w:t>
            </w:r>
            <w:r>
              <w:rPr>
                <w:rFonts w:hint="eastAsia" w:ascii="宋体" w:hAnsi="宋体" w:eastAsia="宋体" w:cs="Times New Roman"/>
                <w:b w:val="0"/>
                <w:bCs/>
                <w:szCs w:val="21"/>
                <w:highlight w:val="none"/>
                <w:lang w:eastAsia="zh-CN"/>
              </w:rPr>
              <w:t>距投标日</w:t>
            </w:r>
            <w:r>
              <w:rPr>
                <w:rFonts w:hint="eastAsia" w:ascii="宋体" w:hAnsi="宋体" w:eastAsia="宋体" w:cs="Times New Roman"/>
                <w:b w:val="0"/>
                <w:bCs/>
                <w:szCs w:val="21"/>
                <w:highlight w:val="none"/>
                <w:lang w:val="en-US" w:eastAsia="zh-CN"/>
              </w:rPr>
              <w:t>10个月内</w:t>
            </w:r>
            <w:r>
              <w:rPr>
                <w:rFonts w:hint="eastAsia" w:ascii="宋体" w:hAnsi="宋体" w:eastAsia="宋体" w:cs="Times New Roman"/>
                <w:b w:val="0"/>
                <w:bCs/>
                <w:szCs w:val="21"/>
                <w:highlight w:val="none"/>
              </w:rPr>
              <w:t>生产。</w:t>
            </w:r>
          </w:p>
        </w:tc>
        <w:tc>
          <w:tcPr>
            <w:tcW w:w="631" w:type="pct"/>
            <w:noWrap w:val="0"/>
            <w:vAlign w:val="center"/>
          </w:tcPr>
          <w:p>
            <w:pPr>
              <w:pStyle w:val="20"/>
              <w:ind w:firstLine="0" w:firstLineChars="0"/>
              <w:jc w:val="left"/>
              <w:rPr>
                <w:rFonts w:hint="eastAsia" w:ascii="宋体" w:hAnsi="宋体" w:eastAsia="宋体" w:cs="宋体"/>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eastAsia" w:ascii="宋体" w:hAnsi="宋体" w:eastAsia="宋体" w:cs="宋体"/>
                <w:b/>
                <w:kern w:val="2"/>
                <w:sz w:val="24"/>
                <w:szCs w:val="24"/>
                <w:lang w:val="en-US" w:eastAsia="zh-CN" w:bidi="ar-SA"/>
              </w:rPr>
            </w:pPr>
            <w:r>
              <w:rPr>
                <w:rFonts w:hint="eastAsia" w:ascii="宋体" w:hAnsi="宋体" w:eastAsia="宋体" w:cs="Times New Roman"/>
                <w:b w:val="0"/>
                <w:bCs/>
                <w:szCs w:val="21"/>
                <w:highlight w:val="none"/>
              </w:rPr>
              <w:t>4</w:t>
            </w:r>
          </w:p>
        </w:tc>
        <w:tc>
          <w:tcPr>
            <w:tcW w:w="3575" w:type="pct"/>
            <w:noWrap w:val="0"/>
            <w:vAlign w:val="center"/>
          </w:tcPr>
          <w:p>
            <w:pPr>
              <w:pStyle w:val="20"/>
              <w:ind w:firstLine="0" w:firstLineChars="0"/>
              <w:jc w:val="left"/>
              <w:rPr>
                <w:rFonts w:hint="eastAsia" w:ascii="宋体" w:hAnsi="宋体" w:eastAsia="宋体" w:cs="宋体"/>
                <w:b/>
                <w:kern w:val="2"/>
                <w:sz w:val="24"/>
                <w:szCs w:val="24"/>
                <w:lang w:val="en-US" w:eastAsia="zh-CN" w:bidi="ar-SA"/>
              </w:rPr>
            </w:pPr>
            <w:r>
              <w:rPr>
                <w:rFonts w:hint="eastAsia" w:ascii="宋体" w:hAnsi="宋体" w:eastAsia="宋体" w:cs="Times New Roman"/>
                <w:b w:val="0"/>
                <w:bCs/>
                <w:szCs w:val="21"/>
                <w:highlight w:val="none"/>
              </w:rPr>
              <w:t>投标产品使用寿命≥</w:t>
            </w:r>
            <w:r>
              <w:rPr>
                <w:rFonts w:hint="eastAsia" w:ascii="宋体" w:hAnsi="宋体" w:eastAsia="宋体" w:cs="Times New Roman"/>
                <w:b w:val="0"/>
                <w:bCs/>
                <w:color w:val="FF0000"/>
                <w:szCs w:val="21"/>
                <w:highlight w:val="none"/>
                <w:lang w:val="en-US" w:eastAsia="zh-CN"/>
              </w:rPr>
              <w:t>5</w:t>
            </w:r>
            <w:r>
              <w:rPr>
                <w:rFonts w:hint="eastAsia" w:ascii="宋体" w:hAnsi="宋体" w:eastAsia="宋体" w:cs="Times New Roman"/>
                <w:b w:val="0"/>
                <w:bCs/>
                <w:color w:val="FF0000"/>
                <w:szCs w:val="21"/>
                <w:highlight w:val="none"/>
              </w:rPr>
              <w:t>年</w:t>
            </w:r>
            <w:r>
              <w:rPr>
                <w:rFonts w:hint="eastAsia" w:ascii="宋体" w:hAnsi="宋体" w:eastAsia="宋体" w:cs="Times New Roman"/>
                <w:b w:val="0"/>
                <w:bCs/>
                <w:szCs w:val="21"/>
                <w:highlight w:val="none"/>
              </w:rPr>
              <w:t>，投标时须提供证明材料（依据注册证或说明书或产品铭牌照片）</w:t>
            </w:r>
          </w:p>
        </w:tc>
        <w:tc>
          <w:tcPr>
            <w:tcW w:w="631" w:type="pct"/>
            <w:noWrap w:val="0"/>
            <w:vAlign w:val="center"/>
          </w:tcPr>
          <w:p>
            <w:pPr>
              <w:pStyle w:val="20"/>
              <w:ind w:firstLine="0" w:firstLineChars="0"/>
              <w:jc w:val="left"/>
              <w:rPr>
                <w:rFonts w:hint="eastAsia" w:ascii="宋体" w:hAnsi="宋体" w:eastAsia="宋体" w:cs="宋体"/>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5</w:t>
            </w:r>
          </w:p>
        </w:tc>
        <w:tc>
          <w:tcPr>
            <w:tcW w:w="3575"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保修期内，除一次性耗材，易耗品外其他维修部件全部免费提供，投标时列明一次性耗材、易耗品清单及价格，未列明的视为免费提供。</w:t>
            </w:r>
          </w:p>
        </w:tc>
        <w:tc>
          <w:tcPr>
            <w:tcW w:w="631" w:type="pct"/>
            <w:noWrap w:val="0"/>
            <w:vAlign w:val="center"/>
          </w:tcPr>
          <w:p>
            <w:pPr>
              <w:pStyle w:val="20"/>
              <w:ind w:firstLine="0" w:firstLineChars="0"/>
              <w:jc w:val="left"/>
              <w:rPr>
                <w:rFonts w:hint="eastAsia" w:ascii="宋体" w:hAnsi="宋体" w:eastAsia="宋体" w:cs="宋体"/>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6</w:t>
            </w:r>
          </w:p>
        </w:tc>
        <w:tc>
          <w:tcPr>
            <w:tcW w:w="3575"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设备生命周期内（需满足国家法定要求），因配件无法供应、耗材无法供应、国家法律法规或地方法规、政策原因等等（包括但不限于上述原因的非院方因素）导致设备无法正常使用的，中标商承担设备后续折旧费。设备验收后导致生命周期无法满足国家规定报废最低年限要求的，中标商承担设备不足部分年限折旧费。</w:t>
            </w:r>
          </w:p>
        </w:tc>
        <w:tc>
          <w:tcPr>
            <w:tcW w:w="631" w:type="pct"/>
            <w:noWrap w:val="0"/>
            <w:vAlign w:val="center"/>
          </w:tcPr>
          <w:p>
            <w:pPr>
              <w:pStyle w:val="20"/>
              <w:ind w:firstLine="0" w:firstLineChars="0"/>
              <w:jc w:val="left"/>
              <w:rPr>
                <w:rFonts w:hint="eastAsia" w:ascii="宋体" w:hAnsi="宋体" w:eastAsia="宋体" w:cs="宋体"/>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7</w:t>
            </w:r>
          </w:p>
        </w:tc>
        <w:tc>
          <w:tcPr>
            <w:tcW w:w="3575"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投标时标明所有单价1000元以上维修备件的清单和供货价。提供不高于同期温州市其他市级医院相同产品的采购价格的最优惠报价，并承诺8年内售价不得高于此价格。如未列明，则默认为日后日常使用中免费提供。</w:t>
            </w:r>
          </w:p>
        </w:tc>
        <w:tc>
          <w:tcPr>
            <w:tcW w:w="631" w:type="pct"/>
            <w:noWrap w:val="0"/>
            <w:vAlign w:val="center"/>
          </w:tcPr>
          <w:p>
            <w:pPr>
              <w:pStyle w:val="20"/>
              <w:ind w:firstLine="0" w:firstLineChars="0"/>
              <w:jc w:val="left"/>
              <w:rPr>
                <w:rFonts w:hint="eastAsia" w:ascii="宋体" w:hAnsi="宋体" w:eastAsia="宋体" w:cs="宋体"/>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eastAsia" w:ascii="宋体" w:hAnsi="宋体" w:eastAsia="宋体" w:cs="Times New Roman"/>
                <w:b w:val="0"/>
                <w:bCs/>
                <w:szCs w:val="21"/>
                <w:highlight w:val="none"/>
              </w:rPr>
            </w:pPr>
            <w:r>
              <w:rPr>
                <w:rFonts w:hint="eastAsia" w:ascii="宋体" w:hAnsi="宋体" w:eastAsia="宋体" w:cs="Times New Roman"/>
                <w:b w:val="0"/>
                <w:bCs/>
                <w:szCs w:val="21"/>
                <w:highlight w:val="none"/>
              </w:rPr>
              <w:t>8</w:t>
            </w:r>
          </w:p>
          <w:p>
            <w:pPr>
              <w:pStyle w:val="20"/>
              <w:ind w:firstLine="0" w:firstLineChars="0"/>
              <w:jc w:val="left"/>
              <w:rPr>
                <w:rFonts w:hint="eastAsia" w:ascii="宋体" w:hAnsi="宋体" w:eastAsia="宋体" w:cs="宋体"/>
                <w:kern w:val="2"/>
                <w:sz w:val="24"/>
                <w:szCs w:val="24"/>
                <w:lang w:val="en-US" w:eastAsia="zh-CN" w:bidi="ar-SA"/>
              </w:rPr>
            </w:pPr>
          </w:p>
        </w:tc>
        <w:tc>
          <w:tcPr>
            <w:tcW w:w="3575"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质保期内每年每套设备故障率均不得超过14天，每超过一天该设备质保期相应延长10天。</w:t>
            </w:r>
          </w:p>
        </w:tc>
        <w:tc>
          <w:tcPr>
            <w:tcW w:w="631" w:type="pct"/>
            <w:noWrap w:val="0"/>
            <w:vAlign w:val="center"/>
          </w:tcPr>
          <w:p>
            <w:pPr>
              <w:pStyle w:val="20"/>
              <w:ind w:firstLine="0" w:firstLineChars="0"/>
              <w:jc w:val="left"/>
              <w:rPr>
                <w:rFonts w:hint="eastAsia" w:ascii="宋体" w:hAnsi="宋体" w:eastAsia="宋体" w:cs="宋体"/>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9</w:t>
            </w:r>
          </w:p>
        </w:tc>
        <w:tc>
          <w:tcPr>
            <w:tcW w:w="3575"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提供原厂DATASHEET</w:t>
            </w:r>
          </w:p>
        </w:tc>
        <w:tc>
          <w:tcPr>
            <w:tcW w:w="631" w:type="pct"/>
            <w:noWrap w:val="0"/>
            <w:vAlign w:val="center"/>
          </w:tcPr>
          <w:p>
            <w:pPr>
              <w:pStyle w:val="20"/>
              <w:ind w:firstLine="0" w:firstLineChars="0"/>
              <w:jc w:val="left"/>
              <w:rPr>
                <w:rFonts w:hint="eastAsia" w:ascii="宋体" w:hAnsi="宋体" w:eastAsia="宋体" w:cs="宋体"/>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eastAsia" w:ascii="宋体" w:hAnsi="宋体" w:eastAsia="宋体" w:cs="宋体"/>
                <w:b/>
                <w:kern w:val="2"/>
                <w:sz w:val="24"/>
                <w:szCs w:val="24"/>
                <w:lang w:val="en-US" w:eastAsia="zh-CN" w:bidi="ar-SA"/>
              </w:rPr>
            </w:pPr>
            <w:r>
              <w:rPr>
                <w:rFonts w:hint="eastAsia" w:ascii="宋体" w:hAnsi="宋体" w:eastAsia="宋体" w:cs="Times New Roman"/>
                <w:b w:val="0"/>
                <w:bCs/>
                <w:szCs w:val="21"/>
                <w:highlight w:val="none"/>
              </w:rPr>
              <w:t>10</w:t>
            </w:r>
          </w:p>
        </w:tc>
        <w:tc>
          <w:tcPr>
            <w:tcW w:w="3575" w:type="pct"/>
            <w:noWrap w:val="0"/>
            <w:vAlign w:val="center"/>
          </w:tcPr>
          <w:p>
            <w:pPr>
              <w:pStyle w:val="20"/>
              <w:ind w:firstLine="0" w:firstLineChars="0"/>
              <w:jc w:val="left"/>
              <w:rPr>
                <w:rFonts w:hint="eastAsia" w:ascii="宋体" w:hAnsi="宋体" w:eastAsia="宋体" w:cs="宋体"/>
                <w:b/>
                <w:kern w:val="2"/>
                <w:sz w:val="24"/>
                <w:szCs w:val="24"/>
                <w:lang w:val="en-US" w:eastAsia="zh-CN" w:bidi="ar-SA"/>
              </w:rPr>
            </w:pPr>
            <w:r>
              <w:rPr>
                <w:rFonts w:hint="eastAsia" w:ascii="宋体" w:hAnsi="宋体" w:eastAsia="宋体" w:cs="Times New Roman"/>
                <w:b w:val="0"/>
                <w:bCs/>
                <w:szCs w:val="21"/>
                <w:highlight w:val="none"/>
              </w:rPr>
              <w:t>设备安装、调试</w:t>
            </w:r>
          </w:p>
        </w:tc>
        <w:tc>
          <w:tcPr>
            <w:tcW w:w="631" w:type="pct"/>
            <w:noWrap w:val="0"/>
            <w:vAlign w:val="center"/>
          </w:tcPr>
          <w:p>
            <w:pPr>
              <w:pStyle w:val="20"/>
              <w:ind w:firstLine="0" w:firstLineChars="0"/>
              <w:jc w:val="left"/>
              <w:rPr>
                <w:rFonts w:hint="eastAsia" w:ascii="宋体" w:hAnsi="宋体" w:eastAsia="宋体" w:cs="宋体"/>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10.1</w:t>
            </w:r>
          </w:p>
        </w:tc>
        <w:tc>
          <w:tcPr>
            <w:tcW w:w="3575" w:type="pct"/>
            <w:noWrap w:val="0"/>
            <w:vAlign w:val="center"/>
          </w:tcPr>
          <w:p>
            <w:pPr>
              <w:pStyle w:val="20"/>
              <w:ind w:firstLine="0" w:firstLineChars="0"/>
              <w:jc w:val="left"/>
              <w:rPr>
                <w:rFonts w:hint="eastAsia" w:ascii="宋体" w:hAnsi="宋体" w:eastAsia="宋体" w:cs="宋体"/>
                <w:b/>
                <w:kern w:val="2"/>
                <w:sz w:val="24"/>
                <w:szCs w:val="24"/>
                <w:lang w:val="en-US" w:eastAsia="zh-CN" w:bidi="ar-SA"/>
              </w:rPr>
            </w:pPr>
            <w:r>
              <w:rPr>
                <w:rFonts w:hint="eastAsia" w:ascii="宋体" w:hAnsi="宋体" w:eastAsia="宋体" w:cs="Times New Roman"/>
                <w:b w:val="0"/>
                <w:bCs/>
                <w:szCs w:val="21"/>
                <w:highlight w:val="none"/>
              </w:rPr>
              <w:t>安装地点：采购单位指定位置。</w:t>
            </w:r>
          </w:p>
        </w:tc>
        <w:tc>
          <w:tcPr>
            <w:tcW w:w="631" w:type="pct"/>
            <w:noWrap w:val="0"/>
            <w:vAlign w:val="center"/>
          </w:tcPr>
          <w:p>
            <w:pPr>
              <w:pStyle w:val="20"/>
              <w:ind w:firstLine="0" w:firstLineChars="0"/>
              <w:jc w:val="left"/>
              <w:rPr>
                <w:rFonts w:hint="eastAsia" w:ascii="宋体" w:hAnsi="宋体" w:eastAsia="宋体" w:cs="宋体"/>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10.2</w:t>
            </w:r>
          </w:p>
        </w:tc>
        <w:tc>
          <w:tcPr>
            <w:tcW w:w="3575"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安装完成时间：投标方应在投标文件中明确正常完成安装调试的时间期限，并提供超出期限情况下投标方对因此给买方造成损失的赔偿计划。</w:t>
            </w:r>
          </w:p>
        </w:tc>
        <w:tc>
          <w:tcPr>
            <w:tcW w:w="631" w:type="pct"/>
            <w:noWrap w:val="0"/>
            <w:vAlign w:val="center"/>
          </w:tcPr>
          <w:p>
            <w:pPr>
              <w:pStyle w:val="20"/>
              <w:ind w:firstLine="0" w:firstLineChars="0"/>
              <w:jc w:val="left"/>
              <w:rPr>
                <w:rFonts w:hint="eastAsia" w:ascii="宋体" w:hAnsi="宋体" w:eastAsia="宋体" w:cs="宋体"/>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10.3</w:t>
            </w:r>
          </w:p>
        </w:tc>
        <w:tc>
          <w:tcPr>
            <w:tcW w:w="3575"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安装标准：符合中华人民共和国国家有关技术规范要求和技术标准。所有的软件和硬件必须保证同时安装到位。</w:t>
            </w:r>
          </w:p>
        </w:tc>
        <w:tc>
          <w:tcPr>
            <w:tcW w:w="631" w:type="pct"/>
            <w:noWrap w:val="0"/>
            <w:vAlign w:val="center"/>
          </w:tcPr>
          <w:p>
            <w:pPr>
              <w:pStyle w:val="20"/>
              <w:ind w:firstLine="0" w:firstLineChars="0"/>
              <w:jc w:val="left"/>
              <w:rPr>
                <w:rFonts w:hint="eastAsia" w:ascii="宋体" w:hAnsi="宋体" w:eastAsia="宋体" w:cs="宋体"/>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10.4</w:t>
            </w:r>
          </w:p>
        </w:tc>
        <w:tc>
          <w:tcPr>
            <w:tcW w:w="3575"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安装费用：安装过程中发生的费用（含检测、耗材等）由卖方负责。投标方应在投标文件中提供其安装调试计划和对安装场地和环境的要求。</w:t>
            </w:r>
          </w:p>
        </w:tc>
        <w:tc>
          <w:tcPr>
            <w:tcW w:w="631" w:type="pct"/>
            <w:noWrap w:val="0"/>
            <w:vAlign w:val="center"/>
          </w:tcPr>
          <w:p>
            <w:pPr>
              <w:pStyle w:val="20"/>
              <w:ind w:firstLine="0" w:firstLineChars="0"/>
              <w:jc w:val="left"/>
              <w:rPr>
                <w:rFonts w:hint="eastAsia" w:ascii="宋体" w:hAnsi="宋体" w:eastAsia="宋体" w:cs="宋体"/>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10.5</w:t>
            </w:r>
          </w:p>
        </w:tc>
        <w:tc>
          <w:tcPr>
            <w:tcW w:w="3575"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安装人员：应由中标方有三台以上（含）同类型设备安装经验的原厂工程师负责安装。</w:t>
            </w:r>
          </w:p>
        </w:tc>
        <w:tc>
          <w:tcPr>
            <w:tcW w:w="631" w:type="pct"/>
            <w:noWrap w:val="0"/>
            <w:vAlign w:val="center"/>
          </w:tcPr>
          <w:p>
            <w:pPr>
              <w:pStyle w:val="20"/>
              <w:ind w:firstLine="0" w:firstLineChars="0"/>
              <w:jc w:val="left"/>
              <w:rPr>
                <w:rFonts w:hint="eastAsia" w:ascii="宋体" w:hAnsi="宋体" w:eastAsia="宋体" w:cs="宋体"/>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11</w:t>
            </w:r>
          </w:p>
        </w:tc>
        <w:tc>
          <w:tcPr>
            <w:tcW w:w="3575" w:type="pct"/>
            <w:noWrap w:val="0"/>
            <w:vAlign w:val="center"/>
          </w:tcPr>
          <w:p>
            <w:pPr>
              <w:pStyle w:val="20"/>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Times New Roman"/>
                <w:b w:val="0"/>
                <w:bCs/>
                <w:szCs w:val="21"/>
                <w:highlight w:val="none"/>
              </w:rPr>
              <w:t>培训</w:t>
            </w:r>
          </w:p>
        </w:tc>
        <w:tc>
          <w:tcPr>
            <w:tcW w:w="631" w:type="pct"/>
            <w:noWrap w:val="0"/>
            <w:vAlign w:val="center"/>
          </w:tcPr>
          <w:p>
            <w:pPr>
              <w:pStyle w:val="20"/>
              <w:ind w:firstLine="0" w:firstLineChars="0"/>
              <w:jc w:val="left"/>
              <w:rPr>
                <w:rFonts w:hint="eastAsia" w:ascii="宋体" w:hAnsi="宋体" w:eastAsia="宋体" w:cs="宋体"/>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11.1</w:t>
            </w:r>
          </w:p>
        </w:tc>
        <w:tc>
          <w:tcPr>
            <w:tcW w:w="3575"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c>
          <w:tcPr>
            <w:tcW w:w="631" w:type="pct"/>
            <w:noWrap w:val="0"/>
            <w:vAlign w:val="center"/>
          </w:tcPr>
          <w:p>
            <w:pPr>
              <w:pStyle w:val="20"/>
              <w:ind w:firstLine="0" w:firstLineChars="0"/>
              <w:jc w:val="left"/>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11.2</w:t>
            </w:r>
          </w:p>
        </w:tc>
        <w:tc>
          <w:tcPr>
            <w:tcW w:w="3575"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中标方应对买方的操作人员进行培训并承担所有费用。</w:t>
            </w:r>
          </w:p>
        </w:tc>
        <w:tc>
          <w:tcPr>
            <w:tcW w:w="631" w:type="pct"/>
            <w:noWrap w:val="0"/>
            <w:vAlign w:val="center"/>
          </w:tcPr>
          <w:p>
            <w:pPr>
              <w:pStyle w:val="20"/>
              <w:ind w:firstLine="0" w:firstLineChars="0"/>
              <w:jc w:val="left"/>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11.3</w:t>
            </w:r>
          </w:p>
        </w:tc>
        <w:tc>
          <w:tcPr>
            <w:tcW w:w="3575"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培训完成后，中标方须提供详细培训记录，培训记录应有培训内容、参加人员（签字）、培训地点、培训时间以及操作人员考核情况。</w:t>
            </w:r>
          </w:p>
        </w:tc>
        <w:tc>
          <w:tcPr>
            <w:tcW w:w="631" w:type="pct"/>
            <w:noWrap w:val="0"/>
            <w:vAlign w:val="center"/>
          </w:tcPr>
          <w:p>
            <w:pPr>
              <w:pStyle w:val="20"/>
              <w:ind w:firstLine="0" w:firstLineChars="0"/>
              <w:jc w:val="left"/>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12</w:t>
            </w:r>
          </w:p>
        </w:tc>
        <w:tc>
          <w:tcPr>
            <w:tcW w:w="3575"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验收</w:t>
            </w:r>
          </w:p>
        </w:tc>
        <w:tc>
          <w:tcPr>
            <w:tcW w:w="631" w:type="pct"/>
            <w:noWrap w:val="0"/>
            <w:vAlign w:val="center"/>
          </w:tcPr>
          <w:p>
            <w:pPr>
              <w:pStyle w:val="20"/>
              <w:ind w:firstLine="0" w:firstLineChars="0"/>
              <w:jc w:val="left"/>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12.1</w:t>
            </w:r>
          </w:p>
        </w:tc>
        <w:tc>
          <w:tcPr>
            <w:tcW w:w="3575"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投标方在投标时应提供设备的验收标准、安装技术规范，供买方参考。</w:t>
            </w:r>
          </w:p>
        </w:tc>
        <w:tc>
          <w:tcPr>
            <w:tcW w:w="631" w:type="pct"/>
            <w:noWrap w:val="0"/>
            <w:vAlign w:val="center"/>
          </w:tcPr>
          <w:p>
            <w:pPr>
              <w:pStyle w:val="20"/>
              <w:ind w:firstLine="0" w:firstLineChars="0"/>
              <w:jc w:val="left"/>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12.2</w:t>
            </w:r>
          </w:p>
        </w:tc>
        <w:tc>
          <w:tcPr>
            <w:tcW w:w="3575"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验收依据：按投标文件、招标文件及国家标准验收。</w:t>
            </w:r>
          </w:p>
        </w:tc>
        <w:tc>
          <w:tcPr>
            <w:tcW w:w="631" w:type="pct"/>
            <w:noWrap w:val="0"/>
            <w:vAlign w:val="center"/>
          </w:tcPr>
          <w:p>
            <w:pPr>
              <w:pStyle w:val="20"/>
              <w:ind w:firstLine="0" w:firstLineChars="0"/>
              <w:jc w:val="left"/>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12.3</w:t>
            </w:r>
          </w:p>
        </w:tc>
        <w:tc>
          <w:tcPr>
            <w:tcW w:w="3575" w:type="pct"/>
            <w:noWrap w:val="0"/>
            <w:vAlign w:val="center"/>
          </w:tcPr>
          <w:p>
            <w:pPr>
              <w:pStyle w:val="20"/>
              <w:ind w:firstLine="0" w:firstLineChars="0"/>
              <w:jc w:val="left"/>
              <w:rPr>
                <w:rFonts w:hint="eastAsia" w:ascii="宋体" w:hAnsi="宋体" w:eastAsia="宋体" w:cs="Times New Roman"/>
                <w:b w:val="0"/>
                <w:bCs/>
                <w:szCs w:val="21"/>
                <w:highlight w:val="none"/>
              </w:rPr>
            </w:pPr>
            <w:r>
              <w:rPr>
                <w:rFonts w:hint="eastAsia" w:ascii="宋体" w:hAnsi="宋体" w:eastAsia="宋体" w:cs="Times New Roman"/>
                <w:b w:val="0"/>
                <w:bCs/>
                <w:szCs w:val="21"/>
                <w:highlight w:val="none"/>
              </w:rPr>
              <w:t>验收时，投标人提供下列资料：</w:t>
            </w:r>
          </w:p>
          <w:p>
            <w:pPr>
              <w:pStyle w:val="20"/>
              <w:ind w:firstLine="0" w:firstLineChars="0"/>
              <w:jc w:val="left"/>
              <w:rPr>
                <w:sz w:val="24"/>
              </w:rPr>
            </w:pPr>
            <w:r>
              <w:rPr>
                <w:rFonts w:hint="eastAsia" w:ascii="宋体" w:hAnsi="宋体" w:eastAsia="宋体" w:cs="Times New Roman"/>
                <w:b w:val="0"/>
                <w:bCs/>
                <w:szCs w:val="21"/>
                <w:highlight w:val="none"/>
              </w:rPr>
              <w:t>提供三证，完整的中英文技术资料，包括操作手册</w:t>
            </w:r>
            <w:r>
              <w:rPr>
                <w:rFonts w:hint="eastAsia" w:ascii="宋体" w:hAnsi="宋体" w:eastAsia="宋体" w:cs="Times New Roman"/>
                <w:b w:val="0"/>
                <w:bCs/>
                <w:szCs w:val="21"/>
                <w:highlight w:val="none"/>
                <w:lang w:val="en-US" w:eastAsia="zh-CN"/>
              </w:rPr>
              <w:t>1</w:t>
            </w:r>
            <w:r>
              <w:rPr>
                <w:rFonts w:hint="eastAsia" w:ascii="宋体" w:hAnsi="宋体" w:eastAsia="宋体" w:cs="Times New Roman"/>
                <w:b w:val="0"/>
                <w:bCs/>
                <w:szCs w:val="21"/>
                <w:highlight w:val="none"/>
              </w:rPr>
              <w:t>套、维修手册1套及电子版的操作规程等。同时应提供原厂的出厂配置清单、设备出厂检验报告和质量合格证书等，如系进口产品，还应提供报关证明、检验检疫合格证明（如需）。如属计量产品还需提供计量检定报告。</w:t>
            </w:r>
          </w:p>
        </w:tc>
        <w:tc>
          <w:tcPr>
            <w:tcW w:w="631" w:type="pct"/>
            <w:noWrap w:val="0"/>
            <w:vAlign w:val="center"/>
          </w:tcPr>
          <w:p>
            <w:pPr>
              <w:pStyle w:val="20"/>
              <w:ind w:firstLine="0" w:firstLineChars="0"/>
              <w:jc w:val="left"/>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12.4</w:t>
            </w:r>
          </w:p>
        </w:tc>
        <w:tc>
          <w:tcPr>
            <w:tcW w:w="3575"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设备到达最终用户后，要求卖方及安装人员会同买方共同参与设备验收。设备安装调试后，卖方负责安装质量，并经验收合格后，买卖双方共同签署设备验收合格证书。</w:t>
            </w:r>
          </w:p>
        </w:tc>
        <w:tc>
          <w:tcPr>
            <w:tcW w:w="631" w:type="pct"/>
            <w:noWrap w:val="0"/>
            <w:vAlign w:val="center"/>
          </w:tcPr>
          <w:p>
            <w:pPr>
              <w:pStyle w:val="20"/>
              <w:ind w:firstLine="0" w:firstLineChars="0"/>
              <w:jc w:val="left"/>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12.5</w:t>
            </w:r>
          </w:p>
        </w:tc>
        <w:tc>
          <w:tcPr>
            <w:tcW w:w="3575"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验收过程中发现货物性能或功能达不到要求，卖方必须更换有关部件，使货物最终达到规定的性能指标和功能要求，但必须在发现问题后15个工作日内完成。</w:t>
            </w:r>
          </w:p>
        </w:tc>
        <w:tc>
          <w:tcPr>
            <w:tcW w:w="631" w:type="pct"/>
            <w:noWrap w:val="0"/>
            <w:vAlign w:val="center"/>
          </w:tcPr>
          <w:p>
            <w:pPr>
              <w:pStyle w:val="20"/>
              <w:ind w:firstLine="0" w:firstLineChars="0"/>
              <w:jc w:val="left"/>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12.6</w:t>
            </w:r>
          </w:p>
        </w:tc>
        <w:tc>
          <w:tcPr>
            <w:tcW w:w="3575"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所有验收相关费用由产品中标方负担</w:t>
            </w:r>
          </w:p>
        </w:tc>
        <w:tc>
          <w:tcPr>
            <w:tcW w:w="631" w:type="pct"/>
            <w:noWrap w:val="0"/>
            <w:vAlign w:val="center"/>
          </w:tcPr>
          <w:p>
            <w:pPr>
              <w:pStyle w:val="20"/>
              <w:ind w:firstLine="0" w:firstLineChars="0"/>
              <w:jc w:val="left"/>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13</w:t>
            </w:r>
          </w:p>
        </w:tc>
        <w:tc>
          <w:tcPr>
            <w:tcW w:w="3575"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付款方式和条件</w:t>
            </w:r>
          </w:p>
        </w:tc>
        <w:tc>
          <w:tcPr>
            <w:tcW w:w="631" w:type="pct"/>
            <w:noWrap w:val="0"/>
            <w:vAlign w:val="center"/>
          </w:tcPr>
          <w:p>
            <w:pPr>
              <w:pStyle w:val="20"/>
              <w:ind w:firstLine="0" w:firstLineChars="0"/>
              <w:jc w:val="left"/>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13.1</w:t>
            </w:r>
          </w:p>
        </w:tc>
        <w:tc>
          <w:tcPr>
            <w:tcW w:w="3575" w:type="pct"/>
            <w:noWrap w:val="0"/>
            <w:vAlign w:val="center"/>
          </w:tcPr>
          <w:p>
            <w:pPr>
              <w:pStyle w:val="20"/>
              <w:ind w:firstLine="0" w:firstLineChars="0"/>
              <w:jc w:val="left"/>
              <w:rPr>
                <w:rFonts w:hint="eastAsia" w:ascii="宋体" w:hAnsi="宋体" w:eastAsia="宋体" w:cs="Times New Roman"/>
                <w:b w:val="0"/>
                <w:bCs/>
                <w:color w:val="FF0000"/>
                <w:kern w:val="2"/>
                <w:sz w:val="21"/>
                <w:szCs w:val="21"/>
                <w:highlight w:val="none"/>
                <w:lang w:val="zh-CN" w:eastAsia="zh-CN" w:bidi="ar-SA"/>
              </w:rPr>
            </w:pPr>
            <w:r>
              <w:rPr>
                <w:rFonts w:hint="eastAsia" w:ascii="宋体" w:hAnsi="宋体" w:eastAsia="宋体" w:cs="Times New Roman"/>
                <w:b w:val="0"/>
                <w:bCs/>
                <w:color w:val="FF0000"/>
                <w:kern w:val="2"/>
                <w:sz w:val="21"/>
                <w:szCs w:val="21"/>
                <w:highlight w:val="none"/>
                <w:lang w:val="zh-CN" w:eastAsia="zh-CN" w:bidi="ar-SA"/>
              </w:rPr>
              <w:t>一次性支付：</w:t>
            </w:r>
          </w:p>
          <w:p>
            <w:pPr>
              <w:pStyle w:val="20"/>
              <w:ind w:firstLine="0" w:firstLineChars="0"/>
              <w:jc w:val="left"/>
              <w:rPr>
                <w:rFonts w:hint="eastAsia" w:ascii="宋体" w:hAnsi="宋体" w:eastAsia="宋体" w:cs="Times New Roman"/>
                <w:b w:val="0"/>
                <w:bCs/>
                <w:color w:val="FF0000"/>
                <w:kern w:val="2"/>
                <w:sz w:val="21"/>
                <w:szCs w:val="21"/>
                <w:highlight w:val="none"/>
                <w:lang w:val="zh-CN" w:eastAsia="zh-CN" w:bidi="ar-SA"/>
              </w:rPr>
            </w:pPr>
            <w:r>
              <w:rPr>
                <w:rFonts w:hint="eastAsia" w:ascii="宋体" w:hAnsi="宋体" w:eastAsia="宋体" w:cs="Times New Roman"/>
                <w:b w:val="0"/>
                <w:bCs/>
                <w:color w:val="FF0000"/>
                <w:kern w:val="2"/>
                <w:sz w:val="21"/>
                <w:szCs w:val="21"/>
                <w:highlight w:val="none"/>
                <w:lang w:val="zh-CN" w:eastAsia="zh-CN" w:bidi="ar-SA"/>
              </w:rPr>
              <w:t>本合同项下的全部货物安装调试完毕并经最终验收合格后收到中标商发票后的，采购单位按以下第 （2） 种方式一次性支付中标商全部合同价款。</w:t>
            </w:r>
          </w:p>
          <w:p>
            <w:pPr>
              <w:pStyle w:val="20"/>
              <w:ind w:firstLine="0" w:firstLineChars="0"/>
              <w:jc w:val="left"/>
              <w:rPr>
                <w:rFonts w:hint="eastAsia" w:ascii="宋体" w:hAnsi="宋体" w:eastAsia="宋体" w:cs="Times New Roman"/>
                <w:b w:val="0"/>
                <w:bCs/>
                <w:color w:val="FF0000"/>
                <w:kern w:val="2"/>
                <w:sz w:val="21"/>
                <w:szCs w:val="21"/>
                <w:highlight w:val="none"/>
                <w:lang w:val="zh-CN" w:eastAsia="zh-CN" w:bidi="ar-SA"/>
              </w:rPr>
            </w:pPr>
            <w:r>
              <w:rPr>
                <w:rFonts w:hint="eastAsia" w:ascii="宋体" w:hAnsi="宋体" w:eastAsia="宋体" w:cs="Times New Roman"/>
                <w:b w:val="0"/>
                <w:bCs/>
                <w:color w:val="FF0000"/>
                <w:kern w:val="2"/>
                <w:sz w:val="21"/>
                <w:szCs w:val="21"/>
                <w:highlight w:val="none"/>
                <w:lang w:val="zh-CN" w:eastAsia="zh-CN" w:bidi="ar-SA"/>
              </w:rPr>
              <w:t>（1）政府采购项目7个工作日内；</w:t>
            </w:r>
          </w:p>
          <w:p>
            <w:pPr>
              <w:pStyle w:val="20"/>
              <w:ind w:firstLine="0" w:firstLineChars="0"/>
              <w:jc w:val="left"/>
              <w:rPr>
                <w:sz w:val="24"/>
              </w:rPr>
            </w:pPr>
            <w:r>
              <w:rPr>
                <w:rFonts w:hint="eastAsia" w:ascii="宋体" w:hAnsi="宋体" w:eastAsia="宋体" w:cs="Times New Roman"/>
                <w:b w:val="0"/>
                <w:bCs/>
                <w:color w:val="FF0000"/>
                <w:kern w:val="2"/>
                <w:sz w:val="21"/>
                <w:szCs w:val="21"/>
                <w:highlight w:val="none"/>
                <w:lang w:val="zh-CN" w:eastAsia="zh-CN" w:bidi="ar-SA"/>
              </w:rPr>
              <w:t>（2）非政府采购项目3个月内。</w:t>
            </w:r>
          </w:p>
        </w:tc>
        <w:tc>
          <w:tcPr>
            <w:tcW w:w="631" w:type="pct"/>
            <w:noWrap w:val="0"/>
            <w:vAlign w:val="center"/>
          </w:tcPr>
          <w:p>
            <w:pPr>
              <w:pStyle w:val="20"/>
              <w:ind w:firstLine="0" w:firstLineChars="0"/>
              <w:jc w:val="left"/>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13.2</w:t>
            </w:r>
          </w:p>
        </w:tc>
        <w:tc>
          <w:tcPr>
            <w:tcW w:w="3575"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投标商按合同开具多张发票的，额度应大于等于投标单台设备价格，且发票号需连续不中断。</w:t>
            </w:r>
          </w:p>
        </w:tc>
        <w:tc>
          <w:tcPr>
            <w:tcW w:w="631" w:type="pct"/>
            <w:noWrap w:val="0"/>
            <w:vAlign w:val="center"/>
          </w:tcPr>
          <w:p>
            <w:pPr>
              <w:pStyle w:val="20"/>
              <w:ind w:firstLine="0" w:firstLineChars="0"/>
              <w:jc w:val="left"/>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14</w:t>
            </w:r>
          </w:p>
        </w:tc>
        <w:tc>
          <w:tcPr>
            <w:tcW w:w="3575"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延期交货罚款：中标商逾期交付货物的，中标商应按合同总额每日千分之六向采购单位支付违约金，由采购单位从待付货款中扣除。逾期超过约定日期10个工作日不能交货的，采购单位可解除本合同。中标商因逾期交货或因其他违约行为导致采购单位解除合同的，中标商应向采购单位支付合同总值 5% 的违约金，如造成采购单位损失超过违约金的，超出部分由中标商继续承担赔偿责任。</w:t>
            </w:r>
          </w:p>
        </w:tc>
        <w:tc>
          <w:tcPr>
            <w:tcW w:w="631" w:type="pct"/>
            <w:noWrap w:val="0"/>
            <w:vAlign w:val="center"/>
          </w:tcPr>
          <w:p>
            <w:pPr>
              <w:pStyle w:val="20"/>
              <w:ind w:firstLine="0" w:firstLineChars="0"/>
              <w:jc w:val="left"/>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15</w:t>
            </w:r>
          </w:p>
        </w:tc>
        <w:tc>
          <w:tcPr>
            <w:tcW w:w="3575"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保密：招投标及合同中凡涉及买方项目的有关信息，不得透露给第三方。</w:t>
            </w:r>
          </w:p>
        </w:tc>
        <w:tc>
          <w:tcPr>
            <w:tcW w:w="631" w:type="pct"/>
            <w:noWrap w:val="0"/>
            <w:vAlign w:val="center"/>
          </w:tcPr>
          <w:p>
            <w:pPr>
              <w:pStyle w:val="20"/>
              <w:ind w:firstLine="0" w:firstLineChars="0"/>
              <w:jc w:val="left"/>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93"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16</w:t>
            </w:r>
          </w:p>
        </w:tc>
        <w:tc>
          <w:tcPr>
            <w:tcW w:w="3575" w:type="pct"/>
            <w:noWrap w:val="0"/>
            <w:vAlign w:val="center"/>
          </w:tcPr>
          <w:p>
            <w:pPr>
              <w:pStyle w:val="20"/>
              <w:ind w:firstLine="0" w:firstLineChars="0"/>
              <w:jc w:val="left"/>
              <w:rPr>
                <w:sz w:val="24"/>
              </w:rPr>
            </w:pPr>
            <w:r>
              <w:rPr>
                <w:rFonts w:hint="eastAsia" w:ascii="宋体" w:hAnsi="宋体" w:eastAsia="宋体" w:cs="Times New Roman"/>
                <w:b w:val="0"/>
                <w:bCs/>
                <w:szCs w:val="21"/>
                <w:highlight w:val="none"/>
              </w:rPr>
              <w:t>货物购销合同签订的同时，双方须签订廉洁购销合同</w:t>
            </w:r>
          </w:p>
        </w:tc>
        <w:tc>
          <w:tcPr>
            <w:tcW w:w="631" w:type="pct"/>
            <w:noWrap w:val="0"/>
            <w:vAlign w:val="center"/>
          </w:tcPr>
          <w:p>
            <w:pPr>
              <w:pStyle w:val="20"/>
              <w:ind w:firstLine="0" w:firstLineChars="0"/>
              <w:jc w:val="left"/>
              <w:rPr>
                <w:rStyle w:val="25"/>
                <w:rFonts w:ascii="Times New Roman" w:hAnsi="Times New Roman"/>
                <w:bCs w:val="0"/>
                <w:sz w:val="24"/>
                <w:szCs w:val="24"/>
              </w:rPr>
            </w:pPr>
          </w:p>
        </w:tc>
      </w:tr>
    </w:tbl>
    <w:p/>
    <w:p/>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评分细则</w:t>
      </w:r>
    </w:p>
    <w:tbl>
      <w:tblPr>
        <w:tblStyle w:val="11"/>
        <w:tblpPr w:leftFromText="180" w:rightFromText="180" w:vertAnchor="text" w:horzAnchor="page" w:tblpX="1259" w:tblpY="464"/>
        <w:tblOverlap w:val="never"/>
        <w:tblW w:w="936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8"/>
        <w:gridCol w:w="2639"/>
        <w:gridCol w:w="997"/>
        <w:gridCol w:w="4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3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评定项目</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分值</w:t>
            </w:r>
          </w:p>
        </w:tc>
        <w:tc>
          <w:tcPr>
            <w:tcW w:w="4945" w:type="dxa"/>
            <w:noWrap w:val="0"/>
            <w:vAlign w:val="center"/>
          </w:tcPr>
          <w:p>
            <w:pPr>
              <w:ind w:left="105" w:leftChars="50" w:right="10" w:rightChars="5"/>
              <w:jc w:val="center"/>
              <w:rPr>
                <w:rFonts w:hint="eastAsia" w:ascii="宋体" w:hAnsi="宋体" w:eastAsia="宋体" w:cs="宋体"/>
                <w:sz w:val="21"/>
                <w:szCs w:val="21"/>
              </w:rPr>
            </w:pPr>
            <w:r>
              <w:rPr>
                <w:rFonts w:hint="eastAsia" w:ascii="宋体" w:hAnsi="宋体" w:eastAsia="宋体" w:cs="宋体"/>
                <w:sz w:val="21"/>
                <w:szCs w:val="21"/>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对应于招标文件设备技术规格及配置的偏离度</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35</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color w:val="auto"/>
                <w:sz w:val="21"/>
                <w:szCs w:val="21"/>
                <w:highlight w:val="none"/>
              </w:rPr>
              <w:t>与招标文件</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货物技术规格及配置、商务要求对比，一项指标负偏离扣1分，标注★的指标</w:t>
            </w:r>
            <w:r>
              <w:rPr>
                <w:rFonts w:hint="eastAsia" w:ascii="宋体" w:hAnsi="宋体" w:eastAsia="宋体" w:cs="宋体"/>
                <w:color w:val="auto"/>
                <w:sz w:val="21"/>
                <w:szCs w:val="21"/>
                <w:highlight w:val="none"/>
                <w:lang w:eastAsia="zh-CN"/>
              </w:rPr>
              <w:t>负</w:t>
            </w:r>
            <w:r>
              <w:rPr>
                <w:rFonts w:hint="eastAsia" w:ascii="宋体" w:hAnsi="宋体" w:eastAsia="宋体" w:cs="宋体"/>
                <w:color w:val="auto"/>
                <w:sz w:val="21"/>
                <w:szCs w:val="21"/>
                <w:highlight w:val="none"/>
              </w:rPr>
              <w:t>偏离每项扣4分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扣完为止</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投标设备配套的合理性</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评委对投标设备配套的合理性、功能实现程度进行评价：投标设备配套合理、功能实现程度高的，得3分；配套较合理、功能实现程度较高的，得2分；配套合理性一般、不能完全达到临床要求功能的，得1分。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投标设备技术指标的先进性</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评委对投标设备技术指标的先进性进行评价：技术指标高于招标要求且具有较高临床使用价值的，每项得1分；最高得3分。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投标机型的档次</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投标机型在产品系列中属高档产品的，得3分；属中等档次产品的，得2分；属低档产品的，得1分。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运行成本</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包括保修价格、售后服务方案、年运行费用和消耗品或易耗品价格等综合运行成本进行评价。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保修服务</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lang w:eastAsia="zh-CN"/>
              </w:rPr>
              <w:t>设备</w:t>
            </w:r>
            <w:r>
              <w:rPr>
                <w:rFonts w:hint="eastAsia" w:ascii="宋体" w:hAnsi="宋体" w:eastAsia="宋体" w:cs="宋体"/>
                <w:sz w:val="21"/>
                <w:szCs w:val="21"/>
              </w:rPr>
              <w:t>保修期超过招标文件要求的，每增加1年加1分</w:t>
            </w:r>
            <w:r>
              <w:rPr>
                <w:rFonts w:hint="eastAsia" w:ascii="宋体" w:hAnsi="宋体" w:eastAsia="宋体" w:cs="宋体"/>
                <w:sz w:val="21"/>
                <w:szCs w:val="21"/>
                <w:lang w:val="en-US" w:eastAsia="zh-CN"/>
              </w:rPr>
              <w:t>，</w:t>
            </w:r>
            <w:r>
              <w:rPr>
                <w:rFonts w:hint="eastAsia" w:ascii="宋体" w:hAnsi="宋体" w:eastAsia="宋体" w:cs="宋体"/>
                <w:sz w:val="21"/>
                <w:szCs w:val="21"/>
              </w:rPr>
              <w:t>增加部分不足1年的不计分。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投标产品总体质量性能</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投标产品在临床上的使用情况、稳定性、故障率等总体质量性能综合评价。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市场占有率</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温州市或浙江省内</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年1月1日起至今与最终用户签订的投标机型合同复印件，每份有效合同得</w:t>
            </w:r>
            <w:r>
              <w:rPr>
                <w:rFonts w:hint="eastAsia" w:ascii="宋体" w:hAnsi="宋体" w:eastAsia="宋体" w:cs="宋体"/>
                <w:sz w:val="21"/>
                <w:szCs w:val="21"/>
                <w:lang w:val="en-US" w:eastAsia="zh-CN"/>
              </w:rPr>
              <w:t>1</w:t>
            </w:r>
            <w:r>
              <w:rPr>
                <w:rFonts w:hint="eastAsia" w:ascii="宋体" w:hAnsi="宋体" w:eastAsia="宋体" w:cs="宋体"/>
                <w:sz w:val="21"/>
                <w:szCs w:val="21"/>
              </w:rPr>
              <w:t>分，最多</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制造商或代理商的售后服务和维修能力</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4945" w:type="dxa"/>
            <w:noWrap w:val="0"/>
            <w:vAlign w:val="center"/>
          </w:tcPr>
          <w:p>
            <w:pPr>
              <w:ind w:left="105" w:leftChars="50" w:right="10" w:rightChars="5"/>
              <w:rPr>
                <w:rFonts w:hint="eastAsia" w:ascii="宋体" w:hAnsi="宋体" w:eastAsia="宋体" w:cs="宋体"/>
                <w:sz w:val="21"/>
                <w:szCs w:val="21"/>
                <w:lang w:eastAsia="zh-CN"/>
              </w:rPr>
            </w:pPr>
            <w:r>
              <w:rPr>
                <w:rFonts w:hint="eastAsia" w:ascii="宋体" w:hAnsi="宋体" w:eastAsia="宋体" w:cs="宋体"/>
                <w:sz w:val="21"/>
                <w:szCs w:val="21"/>
              </w:rPr>
              <w:t>制造商或代理商的售后服务和维修能力，服务响应速度、服务人员水平、备品备件配置等综合评价。</w:t>
            </w:r>
            <w:r>
              <w:rPr>
                <w:rFonts w:hint="eastAsia" w:ascii="宋体" w:hAnsi="宋体" w:eastAsia="宋体" w:cs="宋体"/>
                <w:sz w:val="21"/>
                <w:szCs w:val="21"/>
                <w:lang w:eastAsia="zh-CN"/>
              </w:rPr>
              <w:t>（厂家在温州市或者浙江省内有常驻维修服务点和维修工程师得</w:t>
            </w:r>
            <w:r>
              <w:rPr>
                <w:rFonts w:hint="eastAsia" w:ascii="宋体" w:hAnsi="宋体" w:eastAsia="宋体" w:cs="宋体"/>
                <w:sz w:val="21"/>
                <w:szCs w:val="21"/>
                <w:lang w:val="en-US" w:eastAsia="zh-CN"/>
              </w:rPr>
              <w:t>1分，代理商有维修服务人员得1分，承诺接用户报修后二十四小时内维修人员能到场维修的得1分</w:t>
            </w:r>
          </w:p>
        </w:tc>
      </w:tr>
    </w:tbl>
    <w:p>
      <w:pPr>
        <w:spacing w:line="360" w:lineRule="auto"/>
        <w:ind w:firstLine="457" w:firstLineChars="196"/>
        <w:rPr>
          <w:rStyle w:val="14"/>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pacing w:val="-4"/>
          <w:sz w:val="24"/>
          <w:szCs w:val="24"/>
        </w:rPr>
        <w:t>1、商务技术分（0-65分）</w:t>
      </w:r>
    </w:p>
    <w:p>
      <w:pPr>
        <w:spacing w:before="120" w:beforeLines="50" w:after="120" w:afterLines="50"/>
        <w:ind w:firstLine="398" w:firstLineChars="196"/>
        <w:jc w:val="both"/>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b/>
          <w:spacing w:val="-4"/>
          <w:sz w:val="21"/>
          <w:szCs w:val="21"/>
        </w:rPr>
        <w:t>2、</w:t>
      </w:r>
      <w:r>
        <w:rPr>
          <w:rFonts w:hint="eastAsia" w:asciiTheme="minorEastAsia" w:hAnsiTheme="minorEastAsia" w:eastAsiaTheme="minorEastAsia" w:cstheme="minorEastAsia"/>
          <w:b/>
          <w:bCs/>
          <w:spacing w:val="-4"/>
          <w:sz w:val="21"/>
          <w:szCs w:val="21"/>
        </w:rPr>
        <w:t>价格分（0-35分）</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Fonts w:hint="eastAsia"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价格分采用低价优先法计算，即满足招标文件要求且投标报价最低的投标报价为评标基准价，其得分为满分35分。其他投标人的价格分按照下列公式计算：</w:t>
      </w:r>
    </w:p>
    <w:p>
      <w:pPr>
        <w:spacing w:before="120" w:beforeLines="50" w:after="120"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价格分=（评标基准价/</w:t>
      </w:r>
      <w:r>
        <w:rPr>
          <w:rFonts w:hint="eastAsia" w:asciiTheme="minorEastAsia" w:hAnsiTheme="minorEastAsia" w:eastAsiaTheme="minorEastAsia" w:cstheme="minorEastAsia"/>
          <w:bCs/>
          <w:spacing w:val="-4"/>
          <w:sz w:val="21"/>
          <w:szCs w:val="21"/>
        </w:rPr>
        <w:t>投标报价</w:t>
      </w:r>
      <w:r>
        <w:rPr>
          <w:rFonts w:hint="eastAsia" w:asciiTheme="minorEastAsia" w:hAnsiTheme="minorEastAsia" w:eastAsiaTheme="minorEastAsia" w:cstheme="minorEastAsia"/>
          <w:sz w:val="21"/>
          <w:szCs w:val="21"/>
        </w:rPr>
        <w:t>）×35%×100</w:t>
      </w:r>
    </w:p>
    <w:p>
      <w:pPr>
        <w:numPr>
          <w:ilvl w:val="0"/>
          <w:numId w:val="2"/>
        </w:numPr>
        <w:ind w:firstLine="482" w:firstLineChars="200"/>
        <w:jc w:val="left"/>
        <w:rPr>
          <w:sz w:val="24"/>
        </w:rPr>
      </w:pPr>
      <w:r>
        <w:rPr>
          <w:rFonts w:hint="eastAsia" w:asciiTheme="minorEastAsia" w:hAnsiTheme="minorEastAsia" w:eastAsiaTheme="minorEastAsia" w:cstheme="minorEastAsia"/>
          <w:b/>
          <w:bCs w:val="0"/>
          <w:sz w:val="24"/>
          <w:szCs w:val="24"/>
          <w:lang w:val="en-US" w:eastAsia="zh-CN"/>
        </w:rPr>
        <w:t>总分</w:t>
      </w:r>
      <w:r>
        <w:rPr>
          <w:rFonts w:hint="eastAsia" w:asciiTheme="minorEastAsia" w:hAnsiTheme="minorEastAsia" w:eastAsiaTheme="minorEastAsia" w:cstheme="minorEastAsia"/>
          <w:b/>
          <w:bCs w:val="0"/>
          <w:sz w:val="21"/>
          <w:szCs w:val="21"/>
          <w:lang w:val="en-US" w:eastAsia="zh-CN"/>
        </w:rPr>
        <w:t>：</w:t>
      </w:r>
      <w:r>
        <w:rPr>
          <w:rFonts w:hint="eastAsia" w:asciiTheme="minorEastAsia" w:hAnsiTheme="minorEastAsia" w:eastAsiaTheme="minorEastAsia" w:cstheme="minorEastAsia"/>
          <w:sz w:val="21"/>
          <w:szCs w:val="21"/>
        </w:rPr>
        <w:t>投标人的综合得分为以上商务技术分及价格分之和</w:t>
      </w:r>
      <w:r>
        <w:rPr>
          <w:sz w:val="21"/>
          <w:szCs w:val="21"/>
        </w:rPr>
        <w:t>。</w:t>
      </w: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default" w:eastAsia="宋体" w:asciiTheme="minorEastAsia" w:hAnsiTheme="minorEastAsia" w:cstheme="minorEastAsia"/>
          <w:b/>
          <w:bCs/>
          <w:kern w:val="2"/>
          <w:sz w:val="32"/>
          <w:szCs w:val="32"/>
          <w:lang w:val="en-US" w:eastAsia="zh-CN" w:bidi="ar-SA"/>
        </w:rPr>
      </w:pPr>
      <w:r>
        <w:rPr>
          <w:rStyle w:val="14"/>
          <w:rFonts w:hint="eastAsia" w:eastAsia="宋体" w:asciiTheme="minorEastAsia" w:hAnsiTheme="minorEastAsia" w:cstheme="minorEastAsia"/>
          <w:b/>
          <w:bCs/>
          <w:kern w:val="2"/>
          <w:sz w:val="32"/>
          <w:szCs w:val="32"/>
          <w:lang w:val="en-US" w:eastAsia="zh-CN" w:bidi="ar-SA"/>
        </w:rPr>
        <w:t>九、我院正式合同版本</w:t>
      </w:r>
    </w:p>
    <w:p>
      <w:pPr>
        <w:pStyle w:val="9"/>
        <w:rPr>
          <w:sz w:val="44"/>
        </w:rPr>
      </w:pPr>
      <w:r>
        <w:rPr>
          <w:rFonts w:hint="eastAsia"/>
          <w:sz w:val="44"/>
        </w:rPr>
        <w:t>温州市中医院医疗设备采购合同</w:t>
      </w:r>
    </w:p>
    <w:p>
      <w:pPr>
        <w:jc w:val="right"/>
        <w:rPr>
          <w:w w:val="95"/>
          <w:sz w:val="22"/>
          <w:szCs w:val="22"/>
        </w:rPr>
      </w:pPr>
      <w:r>
        <w:rPr>
          <w:rFonts w:hint="eastAsia"/>
          <w:w w:val="95"/>
        </w:rPr>
        <w:t xml:space="preserve">                                         </w:t>
      </w:r>
      <w:r>
        <w:rPr>
          <w:rFonts w:hint="eastAsia"/>
          <w:w w:val="95"/>
          <w:sz w:val="22"/>
          <w:szCs w:val="22"/>
        </w:rPr>
        <w:t xml:space="preserve"> </w:t>
      </w:r>
      <w:r>
        <w:rPr>
          <w:w w:val="95"/>
          <w:sz w:val="22"/>
          <w:szCs w:val="22"/>
        </w:rPr>
        <w:t>合同编号：</w:t>
      </w:r>
      <w:r>
        <w:rPr>
          <w:rFonts w:hint="eastAsia"/>
          <w:w w:val="95"/>
          <w:sz w:val="22"/>
          <w:szCs w:val="22"/>
        </w:rPr>
        <w:t xml:space="preserve">          </w:t>
      </w:r>
    </w:p>
    <w:p>
      <w:pPr>
        <w:spacing w:before="107" w:line="220" w:lineRule="atLeast"/>
        <w:ind w:left="105"/>
        <w:rPr>
          <w:b/>
          <w:sz w:val="22"/>
          <w:szCs w:val="22"/>
        </w:rPr>
      </w:pPr>
      <w:r>
        <w:rPr>
          <w:rFonts w:hint="eastAsia"/>
          <w:b/>
          <w:sz w:val="22"/>
          <w:szCs w:val="22"/>
        </w:rPr>
        <w:t>甲方（采购单位）：温州市中医院</w:t>
      </w:r>
    </w:p>
    <w:p>
      <w:pPr>
        <w:spacing w:before="107" w:line="220" w:lineRule="atLeast"/>
        <w:ind w:left="105"/>
        <w:rPr>
          <w:b/>
          <w:sz w:val="22"/>
          <w:szCs w:val="22"/>
        </w:rPr>
      </w:pPr>
      <w:r>
        <w:rPr>
          <w:b/>
          <w:sz w:val="22"/>
          <w:szCs w:val="22"/>
        </w:rPr>
        <w:t>乙方（供应商）：</w:t>
      </w:r>
      <w:r>
        <w:rPr>
          <w:rFonts w:hint="eastAsia"/>
          <w:b/>
          <w:sz w:val="22"/>
          <w:szCs w:val="22"/>
        </w:rPr>
        <w:t xml:space="preserve"> </w:t>
      </w:r>
    </w:p>
    <w:p>
      <w:pPr>
        <w:pStyle w:val="4"/>
        <w:spacing w:before="106"/>
        <w:ind w:left="111" w:right="209" w:firstLine="550" w:firstLineChars="250"/>
        <w:rPr>
          <w:color w:val="000000" w:themeColor="text1"/>
          <w:sz w:val="22"/>
          <w:szCs w:val="22"/>
          <w14:textFill>
            <w14:solidFill>
              <w14:schemeClr w14:val="tx1"/>
            </w14:solidFill>
          </w14:textFill>
        </w:rPr>
      </w:pPr>
      <w:r>
        <w:rPr>
          <w:sz w:val="22"/>
          <w:szCs w:val="22"/>
        </w:rPr>
        <w:t>根据《中华人民共</w:t>
      </w:r>
      <w:r>
        <w:rPr>
          <w:color w:val="000000" w:themeColor="text1"/>
          <w:sz w:val="22"/>
          <w:szCs w:val="22"/>
          <w14:textFill>
            <w14:solidFill>
              <w14:schemeClr w14:val="tx1"/>
            </w14:solidFill>
          </w14:textFill>
        </w:rPr>
        <w:t>和国政府采购法》、《中华人民共和国</w:t>
      </w:r>
      <w:r>
        <w:rPr>
          <w:rFonts w:hint="eastAsia"/>
          <w:color w:val="000000" w:themeColor="text1"/>
          <w:sz w:val="22"/>
          <w:szCs w:val="22"/>
          <w14:textFill>
            <w14:solidFill>
              <w14:schemeClr w14:val="tx1"/>
            </w14:solidFill>
          </w14:textFill>
        </w:rPr>
        <w:t>民法典</w:t>
      </w:r>
      <w:r>
        <w:rPr>
          <w:color w:val="000000" w:themeColor="text1"/>
          <w:sz w:val="22"/>
          <w:szCs w:val="22"/>
          <w14:textFill>
            <w14:solidFill>
              <w14:schemeClr w14:val="tx1"/>
            </w14:solidFill>
          </w14:textFill>
        </w:rPr>
        <w:t>》等相关法律法规，以及</w:t>
      </w:r>
      <w:r>
        <w:rPr>
          <w:rFonts w:hint="eastAsia"/>
          <w:color w:val="000000" w:themeColor="text1"/>
          <w:sz w:val="22"/>
          <w:szCs w:val="22"/>
          <w:u w:val="single"/>
          <w:lang w:val="en-US" w:eastAsia="zh-CN"/>
          <w14:textFill>
            <w14:solidFill>
              <w14:schemeClr w14:val="tx1"/>
            </w14:solidFill>
          </w14:textFill>
        </w:rPr>
        <w:t xml:space="preserve">         项</w:t>
      </w:r>
      <w:r>
        <w:rPr>
          <w:color w:val="000000" w:themeColor="text1"/>
          <w:sz w:val="22"/>
          <w:szCs w:val="22"/>
          <w14:textFill>
            <w14:solidFill>
              <w14:schemeClr w14:val="tx1"/>
            </w14:solidFill>
          </w14:textFill>
        </w:rPr>
        <w:t>目</w:t>
      </w:r>
      <w:r>
        <w:rPr>
          <w:rFonts w:hint="eastAsia"/>
          <w:color w:val="000000" w:themeColor="text1"/>
          <w:sz w:val="22"/>
          <w:szCs w:val="22"/>
          <w:u w:val="single"/>
          <w:lang w:val="en-US"/>
          <w14:textFill>
            <w14:solidFill>
              <w14:schemeClr w14:val="tx1"/>
            </w14:solidFill>
          </w14:textFill>
        </w:rPr>
        <w:t>(招标</w:t>
      </w:r>
      <w:r>
        <w:rPr>
          <w:color w:val="000000" w:themeColor="text1"/>
          <w:sz w:val="22"/>
          <w:szCs w:val="22"/>
          <w:u w:val="single"/>
          <w:lang w:val="en-US"/>
          <w14:textFill>
            <w14:solidFill>
              <w14:schemeClr w14:val="tx1"/>
            </w14:solidFill>
          </w14:textFill>
        </w:rPr>
        <w:t>编号</w:t>
      </w:r>
      <w:r>
        <w:rPr>
          <w:rFonts w:hint="eastAsia"/>
          <w:color w:val="000000" w:themeColor="text1"/>
          <w:sz w:val="22"/>
          <w:szCs w:val="22"/>
          <w:u w:val="single"/>
          <w:lang w:val="en-US" w:eastAsia="zh-CN"/>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w:t>
      </w:r>
      <w:r>
        <w:rPr>
          <w:color w:val="000000" w:themeColor="text1"/>
          <w:sz w:val="22"/>
          <w:szCs w:val="22"/>
          <w14:textFill>
            <w14:solidFill>
              <w14:schemeClr w14:val="tx1"/>
            </w14:solidFill>
          </w14:textFill>
        </w:rPr>
        <w:t>（以下简称</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项目</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）招标文件、中标供应商投标文件、项目采购协议，或入围承诺书，甲乙双方经协商一致，签署本合同。</w:t>
      </w:r>
    </w:p>
    <w:p>
      <w:pPr>
        <w:pStyle w:val="3"/>
        <w:numPr>
          <w:ilvl w:val="0"/>
          <w:numId w:val="0"/>
        </w:numPr>
        <w:spacing w:before="84" w:after="13"/>
        <w:ind w:left="105"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一、</w:t>
      </w:r>
      <w:r>
        <w:rPr>
          <w:color w:val="000000" w:themeColor="text1"/>
          <w:sz w:val="22"/>
          <w:szCs w:val="22"/>
          <w14:textFill>
            <w14:solidFill>
              <w14:schemeClr w14:val="tx1"/>
            </w14:solidFill>
          </w14:textFill>
        </w:rPr>
        <w:t>货物内容及合同价格</w:t>
      </w:r>
    </w:p>
    <w:tbl>
      <w:tblPr>
        <w:tblStyle w:val="11"/>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pPr>
              <w:pStyle w:val="19"/>
              <w:spacing w:before="11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货物名称</w:t>
            </w:r>
          </w:p>
        </w:tc>
        <w:tc>
          <w:tcPr>
            <w:tcW w:w="1418" w:type="dxa"/>
            <w:vAlign w:val="center"/>
          </w:tcPr>
          <w:p>
            <w:pPr>
              <w:pStyle w:val="19"/>
              <w:spacing w:before="116"/>
              <w:ind w:right="27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品牌</w:t>
            </w:r>
          </w:p>
        </w:tc>
        <w:tc>
          <w:tcPr>
            <w:tcW w:w="1559" w:type="dxa"/>
            <w:vAlign w:val="center"/>
          </w:tcPr>
          <w:p>
            <w:pPr>
              <w:pStyle w:val="19"/>
              <w:spacing w:before="116"/>
              <w:ind w:left="287" w:right="27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型号规格</w:t>
            </w:r>
          </w:p>
        </w:tc>
        <w:tc>
          <w:tcPr>
            <w:tcW w:w="2126" w:type="dxa"/>
            <w:vAlign w:val="center"/>
          </w:tcPr>
          <w:p>
            <w:pPr>
              <w:pStyle w:val="19"/>
              <w:spacing w:before="116"/>
              <w:ind w:left="71" w:right="61"/>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配置要求</w:t>
            </w:r>
          </w:p>
        </w:tc>
        <w:tc>
          <w:tcPr>
            <w:tcW w:w="993" w:type="dxa"/>
            <w:vAlign w:val="center"/>
          </w:tcPr>
          <w:p>
            <w:pPr>
              <w:pStyle w:val="19"/>
              <w:spacing w:before="116"/>
              <w:ind w:left="71" w:right="61"/>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数量</w:t>
            </w:r>
          </w:p>
        </w:tc>
        <w:tc>
          <w:tcPr>
            <w:tcW w:w="1353" w:type="dxa"/>
            <w:vAlign w:val="center"/>
          </w:tcPr>
          <w:p>
            <w:pPr>
              <w:pStyle w:val="19"/>
              <w:spacing w:before="116"/>
              <w:ind w:left="71" w:right="62"/>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pPr>
              <w:pStyle w:val="19"/>
              <w:jc w:val="center"/>
              <w:rPr>
                <w:b/>
                <w:color w:val="000000" w:themeColor="text1"/>
                <w:sz w:val="22"/>
                <w:szCs w:val="22"/>
                <w:lang w:val="en-US"/>
                <w14:textFill>
                  <w14:solidFill>
                    <w14:schemeClr w14:val="tx1"/>
                  </w14:solidFill>
                </w14:textFill>
              </w:rPr>
            </w:pPr>
          </w:p>
        </w:tc>
        <w:tc>
          <w:tcPr>
            <w:tcW w:w="1418" w:type="dxa"/>
            <w:vAlign w:val="center"/>
          </w:tcPr>
          <w:p>
            <w:pPr>
              <w:pStyle w:val="19"/>
              <w:jc w:val="center"/>
              <w:rPr>
                <w:b/>
                <w:color w:val="000000" w:themeColor="text1"/>
                <w:sz w:val="22"/>
                <w:szCs w:val="22"/>
                <w:lang w:val="en-US"/>
                <w14:textFill>
                  <w14:solidFill>
                    <w14:schemeClr w14:val="tx1"/>
                  </w14:solidFill>
                </w14:textFill>
              </w:rPr>
            </w:pPr>
          </w:p>
        </w:tc>
        <w:tc>
          <w:tcPr>
            <w:tcW w:w="1559" w:type="dxa"/>
            <w:vAlign w:val="center"/>
          </w:tcPr>
          <w:p>
            <w:pPr>
              <w:pStyle w:val="19"/>
              <w:jc w:val="center"/>
              <w:rPr>
                <w:b/>
                <w:color w:val="000000" w:themeColor="text1"/>
                <w:sz w:val="22"/>
                <w:szCs w:val="22"/>
                <w:lang w:val="en-US"/>
                <w14:textFill>
                  <w14:solidFill>
                    <w14:schemeClr w14:val="tx1"/>
                  </w14:solidFill>
                </w14:textFill>
              </w:rPr>
            </w:pPr>
          </w:p>
        </w:tc>
        <w:tc>
          <w:tcPr>
            <w:tcW w:w="2126" w:type="dxa"/>
            <w:vAlign w:val="center"/>
          </w:tcPr>
          <w:p>
            <w:pPr>
              <w:pStyle w:val="19"/>
              <w:jc w:val="center"/>
              <w:rPr>
                <w:rFonts w:ascii="Verdana"/>
                <w:color w:val="000000" w:themeColor="text1"/>
                <w:sz w:val="22"/>
                <w:szCs w:val="22"/>
                <w14:textFill>
                  <w14:solidFill>
                    <w14:schemeClr w14:val="tx1"/>
                  </w14:solidFill>
                </w14:textFill>
              </w:rPr>
            </w:pPr>
          </w:p>
        </w:tc>
        <w:tc>
          <w:tcPr>
            <w:tcW w:w="993" w:type="dxa"/>
            <w:vAlign w:val="center"/>
          </w:tcPr>
          <w:p>
            <w:pPr>
              <w:pStyle w:val="19"/>
              <w:jc w:val="center"/>
              <w:rPr>
                <w:rFonts w:ascii="Verdana"/>
                <w:color w:val="000000" w:themeColor="text1"/>
                <w:sz w:val="22"/>
                <w:szCs w:val="22"/>
                <w14:textFill>
                  <w14:solidFill>
                    <w14:schemeClr w14:val="tx1"/>
                  </w14:solidFill>
                </w14:textFill>
              </w:rPr>
            </w:pPr>
          </w:p>
        </w:tc>
        <w:tc>
          <w:tcPr>
            <w:tcW w:w="1353" w:type="dxa"/>
            <w:vAlign w:val="center"/>
          </w:tcPr>
          <w:p>
            <w:pPr>
              <w:pStyle w:val="19"/>
              <w:jc w:val="center"/>
              <w:rPr>
                <w:rFonts w:ascii="Verdana"/>
                <w:color w:val="000000" w:themeColor="text1"/>
                <w:sz w:val="22"/>
                <w:szCs w:val="2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pPr>
              <w:pStyle w:val="19"/>
              <w:jc w:val="center"/>
              <w:rPr>
                <w:b/>
                <w:color w:val="000000" w:themeColor="text1"/>
                <w:sz w:val="22"/>
                <w:szCs w:val="22"/>
                <w:lang w:val="en-US"/>
                <w14:textFill>
                  <w14:solidFill>
                    <w14:schemeClr w14:val="tx1"/>
                  </w14:solidFill>
                </w14:textFill>
              </w:rPr>
            </w:pPr>
          </w:p>
        </w:tc>
        <w:tc>
          <w:tcPr>
            <w:tcW w:w="1418" w:type="dxa"/>
            <w:vAlign w:val="center"/>
          </w:tcPr>
          <w:p>
            <w:pPr>
              <w:pStyle w:val="19"/>
              <w:jc w:val="center"/>
              <w:rPr>
                <w:b/>
                <w:color w:val="000000" w:themeColor="text1"/>
                <w:sz w:val="22"/>
                <w:szCs w:val="22"/>
                <w:lang w:val="en-US"/>
                <w14:textFill>
                  <w14:solidFill>
                    <w14:schemeClr w14:val="tx1"/>
                  </w14:solidFill>
                </w14:textFill>
              </w:rPr>
            </w:pPr>
          </w:p>
        </w:tc>
        <w:tc>
          <w:tcPr>
            <w:tcW w:w="1559" w:type="dxa"/>
            <w:vAlign w:val="center"/>
          </w:tcPr>
          <w:p>
            <w:pPr>
              <w:pStyle w:val="19"/>
              <w:jc w:val="center"/>
              <w:rPr>
                <w:b/>
                <w:color w:val="000000" w:themeColor="text1"/>
                <w:sz w:val="22"/>
                <w:szCs w:val="22"/>
                <w:lang w:val="en-US"/>
                <w14:textFill>
                  <w14:solidFill>
                    <w14:schemeClr w14:val="tx1"/>
                  </w14:solidFill>
                </w14:textFill>
              </w:rPr>
            </w:pPr>
          </w:p>
        </w:tc>
        <w:tc>
          <w:tcPr>
            <w:tcW w:w="2126" w:type="dxa"/>
            <w:vAlign w:val="center"/>
          </w:tcPr>
          <w:p>
            <w:pPr>
              <w:pStyle w:val="19"/>
              <w:jc w:val="center"/>
              <w:rPr>
                <w:rFonts w:ascii="Verdana"/>
                <w:color w:val="000000" w:themeColor="text1"/>
                <w:sz w:val="22"/>
                <w:szCs w:val="22"/>
                <w14:textFill>
                  <w14:solidFill>
                    <w14:schemeClr w14:val="tx1"/>
                  </w14:solidFill>
                </w14:textFill>
              </w:rPr>
            </w:pPr>
          </w:p>
        </w:tc>
        <w:tc>
          <w:tcPr>
            <w:tcW w:w="993" w:type="dxa"/>
            <w:vAlign w:val="center"/>
          </w:tcPr>
          <w:p>
            <w:pPr>
              <w:pStyle w:val="19"/>
              <w:jc w:val="center"/>
              <w:rPr>
                <w:rFonts w:ascii="Verdana"/>
                <w:color w:val="000000" w:themeColor="text1"/>
                <w:sz w:val="22"/>
                <w:szCs w:val="22"/>
                <w14:textFill>
                  <w14:solidFill>
                    <w14:schemeClr w14:val="tx1"/>
                  </w14:solidFill>
                </w14:textFill>
              </w:rPr>
            </w:pPr>
          </w:p>
        </w:tc>
        <w:tc>
          <w:tcPr>
            <w:tcW w:w="1353" w:type="dxa"/>
            <w:vAlign w:val="center"/>
          </w:tcPr>
          <w:p>
            <w:pPr>
              <w:pStyle w:val="19"/>
              <w:jc w:val="center"/>
              <w:rPr>
                <w:rFonts w:ascii="Verdana"/>
                <w:color w:val="000000" w:themeColor="text1"/>
                <w:sz w:val="22"/>
                <w:szCs w:val="2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pPr>
              <w:pStyle w:val="19"/>
              <w:spacing w:before="116"/>
              <w:ind w:left="0" w:leftChars="0" w:firstLine="0" w:firstLineChars="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合同总价大写</w:t>
            </w:r>
            <w:r>
              <w:rPr>
                <w:rFonts w:hint="eastAsia"/>
                <w:color w:val="000000" w:themeColor="text1"/>
                <w:sz w:val="22"/>
                <w:szCs w:val="22"/>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 xml:space="preserve">元整                           </w:t>
            </w:r>
            <w:r>
              <w:rPr>
                <w:color w:val="000000" w:themeColor="text1"/>
                <w:sz w:val="22"/>
                <w:szCs w:val="22"/>
                <w14:textFill>
                  <w14:solidFill>
                    <w14:schemeClr w14:val="tx1"/>
                  </w14:solidFill>
                </w14:textFill>
              </w:rPr>
              <w:t>小写：￥</w:t>
            </w:r>
          </w:p>
        </w:tc>
      </w:tr>
    </w:tbl>
    <w:p>
      <w:pPr>
        <w:ind w:right="1636"/>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金额单位：元</w:t>
      </w:r>
    </w:p>
    <w:p>
      <w:pPr>
        <w:pStyle w:val="4"/>
        <w:spacing w:line="0" w:lineRule="atLeast"/>
        <w:ind w:right="2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注：1、商品型号、数量、配置要求及使用单位地址等详见附件清单</w:t>
      </w:r>
    </w:p>
    <w:p>
      <w:pPr>
        <w:pStyle w:val="4"/>
        <w:spacing w:line="0" w:lineRule="atLeast"/>
        <w:ind w:left="105" w:right="2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   2、以上合同总价包含货物到达</w:t>
      </w:r>
      <w:r>
        <w:rPr>
          <w:rFonts w:hint="eastAsia"/>
          <w:color w:val="000000" w:themeColor="text1"/>
          <w:sz w:val="22"/>
          <w:szCs w:val="22"/>
          <w:lang w:eastAsia="zh-CN"/>
          <w14:textFill>
            <w14:solidFill>
              <w14:schemeClr w14:val="tx1"/>
            </w14:solidFill>
          </w14:textFill>
        </w:rPr>
        <w:t>甲方</w:t>
      </w:r>
      <w:r>
        <w:rPr>
          <w:rFonts w:hint="eastAsia"/>
          <w:color w:val="000000" w:themeColor="text1"/>
          <w:sz w:val="22"/>
          <w:szCs w:val="22"/>
          <w14:textFill>
            <w14:solidFill>
              <w14:schemeClr w14:val="tx1"/>
            </w14:solidFill>
          </w14:textFill>
        </w:rPr>
        <w:t>并能正常使用所需的一切费用，包括但不限于包装费、运输费、装卸费、保险费、安装调试费、技术服务费、培训费以及保修费、税费等。</w:t>
      </w:r>
    </w:p>
    <w:p>
      <w:pPr>
        <w:pStyle w:val="3"/>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二、技术资料</w:t>
      </w:r>
    </w:p>
    <w:p>
      <w:pPr>
        <w:pStyle w:val="20"/>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乙方应按招标文件规定的时间向甲方提供使用货物的有关技术资料。</w:t>
      </w:r>
    </w:p>
    <w:p>
      <w:pPr>
        <w:pStyle w:val="20"/>
        <w:numPr>
          <w:ilvl w:val="0"/>
          <w:numId w:val="0"/>
        </w:numPr>
        <w:tabs>
          <w:tab w:val="left" w:pos="522"/>
        </w:tabs>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spacing w:before="8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三、知识产权</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乙方应保证所提供的货物或其任何一部分均不会侵犯任何第三方的知识产权。</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四、产权担保</w:t>
      </w:r>
    </w:p>
    <w:p>
      <w:pPr>
        <w:pStyle w:val="4"/>
        <w:spacing w:before="23"/>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乙方保证所交付的货物的所有权完全属于乙方且无任何抵押、查封等产权瑕疵。</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五、转包或分包</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本合同范围的货物，应由乙方直接供应，不得转让他人供应，否则，甲方有权解除合同并追究乙方的违约责任。</w:t>
      </w:r>
    </w:p>
    <w:p>
      <w:pPr>
        <w:pStyle w:val="3"/>
        <w:spacing w:before="10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六、质保期</w:t>
      </w:r>
    </w:p>
    <w:p>
      <w:pPr>
        <w:pStyle w:val="20"/>
        <w:numPr>
          <w:ilvl w:val="0"/>
          <w:numId w:val="0"/>
        </w:numPr>
        <w:tabs>
          <w:tab w:val="left" w:pos="522"/>
        </w:tabs>
        <w:ind w:left="351" w:leftChars="0"/>
        <w:rPr>
          <w:color w:val="000000" w:themeColor="text1"/>
          <w:sz w:val="22"/>
          <w:szCs w:val="22"/>
          <w:highlight w:val="none"/>
          <w14:textFill>
            <w14:solidFill>
              <w14:schemeClr w14:val="tx1"/>
            </w14:solidFill>
          </w14:textFill>
        </w:rPr>
      </w:pPr>
      <w:r>
        <w:rPr>
          <w:color w:val="000000" w:themeColor="text1"/>
          <w:spacing w:val="-6"/>
          <w:sz w:val="22"/>
          <w:szCs w:val="22"/>
          <w:highlight w:val="none"/>
          <w14:textFill>
            <w14:solidFill>
              <w14:schemeClr w14:val="tx1"/>
            </w14:solidFill>
          </w14:textFill>
        </w:rPr>
        <w:t>质保期为</w:t>
      </w:r>
      <w:r>
        <w:rPr>
          <w:rFonts w:hint="eastAsia"/>
          <w:color w:val="000000" w:themeColor="text1"/>
          <w:spacing w:val="-6"/>
          <w:sz w:val="22"/>
          <w:szCs w:val="22"/>
          <w:highlight w:val="none"/>
          <w:u w:val="single"/>
          <w:lang w:val="en-US"/>
          <w14:textFill>
            <w14:solidFill>
              <w14:schemeClr w14:val="tx1"/>
            </w14:solidFill>
          </w14:textFill>
        </w:rPr>
        <w:t xml:space="preserve">    </w:t>
      </w:r>
      <w:r>
        <w:rPr>
          <w:rFonts w:hint="eastAsia"/>
          <w:color w:val="000000" w:themeColor="text1"/>
          <w:spacing w:val="-6"/>
          <w:sz w:val="22"/>
          <w:szCs w:val="22"/>
          <w:highlight w:val="none"/>
          <w:lang w:val="en-US"/>
          <w14:textFill>
            <w14:solidFill>
              <w14:schemeClr w14:val="tx1"/>
            </w14:solidFill>
          </w14:textFill>
        </w:rPr>
        <w:t>年</w:t>
      </w:r>
      <w:r>
        <w:rPr>
          <w:color w:val="000000" w:themeColor="text1"/>
          <w:sz w:val="22"/>
          <w:szCs w:val="22"/>
          <w:highlight w:val="none"/>
          <w14:textFill>
            <w14:solidFill>
              <w14:schemeClr w14:val="tx1"/>
            </w14:solidFill>
          </w14:textFill>
        </w:rPr>
        <w:t>。（自交货验收合格之日起计）</w:t>
      </w:r>
    </w:p>
    <w:p>
      <w:pPr>
        <w:pStyle w:val="3"/>
        <w:spacing w:before="0"/>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七、交货期、交货方式及交货地点</w:t>
      </w:r>
    </w:p>
    <w:p>
      <w:pPr>
        <w:pStyle w:val="20"/>
        <w:numPr>
          <w:ilvl w:val="0"/>
          <w:numId w:val="0"/>
        </w:numPr>
        <w:tabs>
          <w:tab w:val="left" w:pos="522"/>
        </w:tabs>
        <w:spacing w:before="22"/>
        <w:ind w:left="351" w:leftChars="0"/>
        <w:rPr>
          <w:rFonts w:hint="eastAsia" w:eastAsia="宋体"/>
          <w:color w:val="000000" w:themeColor="text1"/>
          <w:sz w:val="22"/>
          <w:szCs w:val="22"/>
          <w:highlight w:val="none"/>
          <w:lang w:eastAsia="zh-CN"/>
          <w14:textFill>
            <w14:solidFill>
              <w14:schemeClr w14:val="tx1"/>
            </w14:solidFill>
          </w14:textFill>
        </w:rPr>
      </w:pPr>
      <w:r>
        <w:rPr>
          <w:rFonts w:hint="eastAsia"/>
          <w:color w:val="000000" w:themeColor="text1"/>
          <w:spacing w:val="-3"/>
          <w:sz w:val="22"/>
          <w:szCs w:val="22"/>
          <w:highlight w:val="none"/>
          <w:lang w:val="en-US" w:eastAsia="zh-CN"/>
          <w14:textFill>
            <w14:solidFill>
              <w14:schemeClr w14:val="tx1"/>
            </w14:solidFill>
          </w14:textFill>
        </w:rPr>
        <w:t>1、</w:t>
      </w:r>
      <w:r>
        <w:rPr>
          <w:color w:val="000000" w:themeColor="text1"/>
          <w:spacing w:val="-3"/>
          <w:sz w:val="22"/>
          <w:szCs w:val="22"/>
          <w:highlight w:val="none"/>
          <w14:textFill>
            <w14:solidFill>
              <w14:schemeClr w14:val="tx1"/>
            </w14:solidFill>
          </w14:textFill>
        </w:rPr>
        <w:t>交货期：合同签订后</w:t>
      </w:r>
      <w:r>
        <w:rPr>
          <w:rFonts w:hint="eastAsia"/>
          <w:color w:val="000000" w:themeColor="text1"/>
          <w:spacing w:val="-3"/>
          <w:sz w:val="22"/>
          <w:szCs w:val="22"/>
          <w:highlight w:val="none"/>
          <w:u w:val="single"/>
          <w:lang w:val="en-US" w:eastAsia="zh-CN"/>
          <w14:textFill>
            <w14:solidFill>
              <w14:schemeClr w14:val="tx1"/>
            </w14:solidFill>
          </w14:textFill>
        </w:rPr>
        <w:t xml:space="preserve">   </w:t>
      </w:r>
      <w:r>
        <w:rPr>
          <w:color w:val="000000" w:themeColor="text1"/>
          <w:sz w:val="22"/>
          <w:szCs w:val="22"/>
          <w:highlight w:val="none"/>
          <w14:textFill>
            <w14:solidFill>
              <w14:schemeClr w14:val="tx1"/>
            </w14:solidFill>
          </w14:textFill>
        </w:rPr>
        <w:t>日</w:t>
      </w:r>
      <w:r>
        <w:rPr>
          <w:rFonts w:hint="eastAsia"/>
          <w:color w:val="000000" w:themeColor="text1"/>
          <w:sz w:val="22"/>
          <w:szCs w:val="22"/>
          <w:highlight w:val="none"/>
          <w:lang w:eastAsia="zh-CN"/>
          <w14:textFill>
            <w14:solidFill>
              <w14:schemeClr w14:val="tx1"/>
            </w14:solidFill>
          </w14:textFill>
        </w:rPr>
        <w:t>内</w:t>
      </w:r>
    </w:p>
    <w:p>
      <w:pPr>
        <w:pStyle w:val="20"/>
        <w:numPr>
          <w:ilvl w:val="0"/>
          <w:numId w:val="0"/>
        </w:numPr>
        <w:tabs>
          <w:tab w:val="left" w:pos="522"/>
        </w:tabs>
        <w:ind w:left="351" w:leftChars="0"/>
        <w:rPr>
          <w:color w:val="000000" w:themeColor="text1"/>
          <w:sz w:val="22"/>
          <w:szCs w:val="22"/>
          <w:highlight w:val="none"/>
          <w14:textFill>
            <w14:solidFill>
              <w14:schemeClr w14:val="tx1"/>
            </w14:solidFill>
          </w14:textFill>
        </w:rPr>
      </w:pPr>
      <w:r>
        <w:rPr>
          <w:rFonts w:hint="eastAsia"/>
          <w:color w:val="000000" w:themeColor="text1"/>
          <w:spacing w:val="-5"/>
          <w:sz w:val="22"/>
          <w:szCs w:val="22"/>
          <w:highlight w:val="none"/>
          <w:lang w:val="en-US" w:eastAsia="zh-CN"/>
          <w14:textFill>
            <w14:solidFill>
              <w14:schemeClr w14:val="tx1"/>
            </w14:solidFill>
          </w14:textFill>
        </w:rPr>
        <w:t>2、</w:t>
      </w:r>
      <w:r>
        <w:rPr>
          <w:color w:val="000000" w:themeColor="text1"/>
          <w:spacing w:val="-5"/>
          <w:sz w:val="22"/>
          <w:szCs w:val="22"/>
          <w:highlight w:val="none"/>
          <w14:textFill>
            <w14:solidFill>
              <w14:schemeClr w14:val="tx1"/>
            </w14:solidFill>
          </w14:textFill>
        </w:rPr>
        <w:t>交货方式：</w:t>
      </w:r>
      <w:r>
        <w:rPr>
          <w:rFonts w:hint="eastAsia"/>
          <w:color w:val="000000" w:themeColor="text1"/>
          <w:spacing w:val="-5"/>
          <w:sz w:val="22"/>
          <w:szCs w:val="22"/>
          <w:highlight w:val="none"/>
          <w14:textFill>
            <w14:solidFill>
              <w14:schemeClr w14:val="tx1"/>
            </w14:solidFill>
          </w14:textFill>
        </w:rPr>
        <w:t>按甲方指定地点</w:t>
      </w:r>
      <w:r>
        <w:rPr>
          <w:color w:val="000000" w:themeColor="text1"/>
          <w:sz w:val="22"/>
          <w:szCs w:val="22"/>
          <w:highlight w:val="none"/>
          <w14:textFill>
            <w14:solidFill>
              <w14:schemeClr w14:val="tx1"/>
            </w14:solidFill>
          </w14:textFill>
        </w:rPr>
        <w:t>送货上门</w:t>
      </w:r>
    </w:p>
    <w:p>
      <w:pPr>
        <w:pStyle w:val="20"/>
        <w:numPr>
          <w:ilvl w:val="0"/>
          <w:numId w:val="0"/>
        </w:numPr>
        <w:ind w:left="351" w:leftChars="0"/>
        <w:rPr>
          <w:rFonts w:hint="eastAsia" w:eastAsia="宋体"/>
          <w:color w:val="000000" w:themeColor="text1"/>
          <w:sz w:val="22"/>
          <w:szCs w:val="22"/>
          <w:highlight w:val="none"/>
          <w:lang w:eastAsia="zh-CN"/>
          <w14:textFill>
            <w14:solidFill>
              <w14:schemeClr w14:val="tx1"/>
            </w14:solidFill>
          </w14:textFill>
        </w:rPr>
      </w:pPr>
      <w:r>
        <w:rPr>
          <w:rFonts w:hint="eastAsia"/>
          <w:color w:val="000000" w:themeColor="text1"/>
          <w:spacing w:val="-11"/>
          <w:sz w:val="22"/>
          <w:szCs w:val="22"/>
          <w:highlight w:val="none"/>
          <w:lang w:val="en-US" w:eastAsia="zh-CN"/>
          <w14:textFill>
            <w14:solidFill>
              <w14:schemeClr w14:val="tx1"/>
            </w14:solidFill>
          </w14:textFill>
        </w:rPr>
        <w:t>3、</w:t>
      </w:r>
      <w:r>
        <w:rPr>
          <w:color w:val="000000" w:themeColor="text1"/>
          <w:spacing w:val="-11"/>
          <w:sz w:val="22"/>
          <w:szCs w:val="22"/>
          <w:highlight w:val="none"/>
          <w14:textFill>
            <w14:solidFill>
              <w14:schemeClr w14:val="tx1"/>
            </w14:solidFill>
          </w14:textFill>
        </w:rPr>
        <w:t>交货地点：</w:t>
      </w:r>
      <w:r>
        <w:rPr>
          <w:rFonts w:hint="eastAsia"/>
          <w:color w:val="000000" w:themeColor="text1"/>
          <w:sz w:val="22"/>
          <w:szCs w:val="22"/>
          <w:highlight w:val="none"/>
          <w:lang w:eastAsia="zh-CN"/>
          <w14:textFill>
            <w14:solidFill>
              <w14:schemeClr w14:val="tx1"/>
            </w14:solidFill>
          </w14:textFill>
        </w:rPr>
        <w:t>甲方指定地点</w:t>
      </w:r>
    </w:p>
    <w:p>
      <w:pPr>
        <w:tabs>
          <w:tab w:val="left" w:pos="522"/>
        </w:tabs>
        <w:ind w:left="105" w:right="5480"/>
        <w:rPr>
          <w:b/>
          <w:bCs/>
          <w:color w:val="000000" w:themeColor="text1"/>
          <w:sz w:val="22"/>
          <w:szCs w:val="22"/>
          <w:highlight w:val="none"/>
          <w14:textFill>
            <w14:solidFill>
              <w14:schemeClr w14:val="tx1"/>
            </w14:solidFill>
          </w14:textFill>
        </w:rPr>
      </w:pPr>
      <w:r>
        <w:rPr>
          <w:b/>
          <w:color w:val="000000" w:themeColor="text1"/>
          <w:spacing w:val="10"/>
          <w:sz w:val="22"/>
          <w:szCs w:val="22"/>
          <w:highlight w:val="none"/>
          <w14:textFill>
            <w14:solidFill>
              <w14:schemeClr w14:val="tx1"/>
            </w14:solidFill>
          </w14:textFill>
        </w:rPr>
        <w:t>八、</w:t>
      </w:r>
      <w:r>
        <w:rPr>
          <w:rFonts w:hint="eastAsia"/>
          <w:b/>
          <w:bCs/>
          <w:color w:val="000000" w:themeColor="text1"/>
          <w:sz w:val="22"/>
          <w:szCs w:val="22"/>
          <w:highlight w:val="none"/>
          <w14:textFill>
            <w14:solidFill>
              <w14:schemeClr w14:val="tx1"/>
            </w14:solidFill>
          </w14:textFill>
        </w:rPr>
        <w:t>货款支付</w:t>
      </w:r>
    </w:p>
    <w:p>
      <w:pP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甲方按以下第</w:t>
      </w:r>
      <w:r>
        <w:rPr>
          <w:rFonts w:hint="eastAsia"/>
          <w:color w:val="000000" w:themeColor="text1"/>
          <w:sz w:val="22"/>
          <w:szCs w:val="22"/>
          <w:highlight w:val="none"/>
          <w:u w:val="single"/>
          <w:lang w:val="en-US" w:eastAsia="zh-CN"/>
          <w14:textFill>
            <w14:solidFill>
              <w14:schemeClr w14:val="tx1"/>
            </w14:solidFill>
          </w14:textFill>
        </w:rPr>
        <w:t xml:space="preserve">   </w:t>
      </w:r>
      <w:r>
        <w:rPr>
          <w:rFonts w:hint="eastAsia"/>
          <w:color w:val="000000" w:themeColor="text1"/>
          <w:sz w:val="22"/>
          <w:szCs w:val="22"/>
          <w:highlight w:val="none"/>
          <w14:textFill>
            <w14:solidFill>
              <w14:schemeClr w14:val="tx1"/>
            </w14:solidFill>
          </w14:textFill>
        </w:rPr>
        <w:t>种方式支付乙方合同价款。</w:t>
      </w:r>
    </w:p>
    <w:p>
      <w:pPr>
        <w:pStyle w:val="4"/>
        <w:spacing w:before="21"/>
        <w:ind w:left="351"/>
        <w:rPr>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1、</w:t>
      </w:r>
      <w:r>
        <w:rPr>
          <w:color w:val="000000" w:themeColor="text1"/>
          <w:sz w:val="22"/>
          <w:szCs w:val="22"/>
          <w:highlight w:val="none"/>
          <w14:textFill>
            <w14:solidFill>
              <w14:schemeClr w14:val="tx1"/>
            </w14:solidFill>
          </w14:textFill>
        </w:rPr>
        <w:t>一次性支付：</w:t>
      </w:r>
    </w:p>
    <w:p>
      <w:pPr>
        <w:pStyle w:val="4"/>
        <w:tabs>
          <w:tab w:val="left" w:pos="4877"/>
        </w:tabs>
        <w:spacing w:before="71"/>
        <w:ind w:left="351"/>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本合同项下的全部货物安装调试完毕并经最终验收合格后</w:t>
      </w:r>
      <w:r>
        <w:rPr>
          <w:rFonts w:hint="eastAsia"/>
          <w:color w:val="000000" w:themeColor="text1"/>
          <w:sz w:val="22"/>
          <w:szCs w:val="22"/>
          <w:highlight w:val="none"/>
          <w14:textFill>
            <w14:solidFill>
              <w14:schemeClr w14:val="tx1"/>
            </w14:solidFill>
          </w14:textFill>
        </w:rPr>
        <w:t>收到乙方发票后的</w:t>
      </w:r>
      <w:r>
        <w:rPr>
          <w:rFonts w:hint="eastAsia"/>
          <w:color w:val="000000" w:themeColor="text1"/>
          <w:sz w:val="22"/>
          <w:szCs w:val="22"/>
          <w:highlight w:val="none"/>
          <w:lang w:eastAsia="zh-CN"/>
          <w14:textFill>
            <w14:solidFill>
              <w14:schemeClr w14:val="tx1"/>
            </w14:solidFill>
          </w14:textFill>
        </w:rPr>
        <w:t>，甲方</w:t>
      </w:r>
      <w:r>
        <w:rPr>
          <w:rFonts w:hint="eastAsia"/>
          <w:color w:val="000000" w:themeColor="text1"/>
          <w:sz w:val="22"/>
          <w:szCs w:val="22"/>
          <w:highlight w:val="none"/>
          <w:lang w:val="zh-CN"/>
          <w14:textFill>
            <w14:solidFill>
              <w14:schemeClr w14:val="tx1"/>
            </w14:solidFill>
          </w14:textFill>
        </w:rPr>
        <w:t>按以下第</w:t>
      </w:r>
      <w:r>
        <w:rPr>
          <w:rFonts w:hint="eastAsia"/>
          <w:color w:val="000000" w:themeColor="text1"/>
          <w:sz w:val="22"/>
          <w:szCs w:val="22"/>
          <w:highlight w:val="none"/>
          <w:u w:val="single"/>
          <w:lang w:val="en-US" w:eastAsia="zh-CN"/>
          <w14:textFill>
            <w14:solidFill>
              <w14:schemeClr w14:val="tx1"/>
            </w14:solidFill>
          </w14:textFill>
        </w:rPr>
        <w:t xml:space="preserve">   </w:t>
      </w:r>
      <w:r>
        <w:rPr>
          <w:rFonts w:hint="eastAsia"/>
          <w:color w:val="000000" w:themeColor="text1"/>
          <w:sz w:val="22"/>
          <w:szCs w:val="22"/>
          <w:highlight w:val="none"/>
          <w:lang w:val="zh-CN"/>
          <w14:textFill>
            <w14:solidFill>
              <w14:schemeClr w14:val="tx1"/>
            </w14:solidFill>
          </w14:textFill>
        </w:rPr>
        <w:t>种方式一次性支付乙方</w:t>
      </w:r>
      <w:r>
        <w:rPr>
          <w:color w:val="000000" w:themeColor="text1"/>
          <w:sz w:val="22"/>
          <w:szCs w:val="22"/>
          <w:highlight w:val="none"/>
          <w14:textFill>
            <w14:solidFill>
              <w14:schemeClr w14:val="tx1"/>
            </w14:solidFill>
          </w14:textFill>
        </w:rPr>
        <w:t>全部</w:t>
      </w:r>
      <w:r>
        <w:rPr>
          <w:rFonts w:hint="eastAsia"/>
          <w:color w:val="000000" w:themeColor="text1"/>
          <w:sz w:val="22"/>
          <w:szCs w:val="22"/>
          <w:highlight w:val="none"/>
          <w:lang w:val="zh-CN"/>
          <w14:textFill>
            <w14:solidFill>
              <w14:schemeClr w14:val="tx1"/>
            </w14:solidFill>
          </w14:textFill>
        </w:rPr>
        <w:t>合同价款</w:t>
      </w:r>
      <w:r>
        <w:rPr>
          <w:color w:val="000000" w:themeColor="text1"/>
          <w:sz w:val="22"/>
          <w:szCs w:val="22"/>
          <w:highlight w:val="none"/>
          <w14:textFill>
            <w14:solidFill>
              <w14:schemeClr w14:val="tx1"/>
            </w14:solidFill>
          </w14:textFill>
        </w:rPr>
        <w:t>。</w:t>
      </w:r>
    </w:p>
    <w:p>
      <w:pPr>
        <w:pStyle w:val="20"/>
        <w:numPr>
          <w:ilvl w:val="0"/>
          <w:numId w:val="0"/>
        </w:numPr>
        <w:tabs>
          <w:tab w:val="left" w:pos="797"/>
          <w:tab w:val="left" w:pos="2800"/>
          <w:tab w:val="left" w:pos="5814"/>
          <w:tab w:val="left" w:pos="7603"/>
          <w:tab w:val="left" w:pos="8599"/>
        </w:tabs>
        <w:spacing w:before="69"/>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1</w:t>
      </w:r>
      <w:r>
        <w:rPr>
          <w:rFonts w:hint="eastAsia"/>
          <w:color w:val="000000" w:themeColor="text1"/>
          <w:sz w:val="22"/>
          <w:szCs w:val="22"/>
          <w:highlight w:val="none"/>
          <w:lang w:eastAsia="zh-CN"/>
          <w14:textFill>
            <w14:solidFill>
              <w14:schemeClr w14:val="tx1"/>
            </w14:solidFill>
          </w14:textFill>
        </w:rPr>
        <w:t>）政府采购项目</w:t>
      </w:r>
      <w:r>
        <w:rPr>
          <w:rFonts w:hint="eastAsia"/>
          <w:color w:val="000000" w:themeColor="text1"/>
          <w:sz w:val="22"/>
          <w:szCs w:val="22"/>
          <w:highlight w:val="none"/>
          <w:lang w:val="en-US" w:eastAsia="zh-CN"/>
          <w14:textFill>
            <w14:solidFill>
              <w14:schemeClr w14:val="tx1"/>
            </w14:solidFill>
          </w14:textFill>
        </w:rPr>
        <w:t>7个工作日内</w:t>
      </w:r>
      <w:r>
        <w:rPr>
          <w:color w:val="000000" w:themeColor="text1"/>
          <w:sz w:val="22"/>
          <w:szCs w:val="22"/>
          <w:highlight w:val="none"/>
          <w14:textFill>
            <w14:solidFill>
              <w14:schemeClr w14:val="tx1"/>
            </w14:solidFill>
          </w14:textFill>
        </w:rPr>
        <w:t>；</w:t>
      </w:r>
    </w:p>
    <w:p>
      <w:pPr>
        <w:pStyle w:val="4"/>
        <w:tabs>
          <w:tab w:val="left" w:pos="4877"/>
        </w:tabs>
        <w:spacing w:before="71"/>
        <w:ind w:left="351"/>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2</w:t>
      </w:r>
      <w:r>
        <w:rPr>
          <w:rFonts w:hint="eastAsia"/>
          <w:color w:val="000000" w:themeColor="text1"/>
          <w:sz w:val="22"/>
          <w:szCs w:val="22"/>
          <w:highlight w:val="none"/>
          <w:lang w:eastAsia="zh-CN"/>
          <w14:textFill>
            <w14:solidFill>
              <w14:schemeClr w14:val="tx1"/>
            </w14:solidFill>
          </w14:textFill>
        </w:rPr>
        <w:t>）非政府采购项目</w:t>
      </w:r>
      <w:r>
        <w:rPr>
          <w:rFonts w:hint="eastAsia"/>
          <w:color w:val="000000" w:themeColor="text1"/>
          <w:sz w:val="22"/>
          <w:szCs w:val="22"/>
          <w:highlight w:val="none"/>
          <w:lang w:val="en-US" w:eastAsia="zh-CN"/>
          <w14:textFill>
            <w14:solidFill>
              <w14:schemeClr w14:val="tx1"/>
            </w14:solidFill>
          </w14:textFill>
        </w:rPr>
        <w:t>3个月内</w:t>
      </w:r>
      <w:r>
        <w:rPr>
          <w:color w:val="000000" w:themeColor="text1"/>
          <w:sz w:val="22"/>
          <w:szCs w:val="22"/>
          <w:highlight w:val="none"/>
          <w14:textFill>
            <w14:solidFill>
              <w14:schemeClr w14:val="tx1"/>
            </w14:solidFill>
          </w14:textFill>
        </w:rPr>
        <w:t>。</w:t>
      </w:r>
    </w:p>
    <w:p>
      <w:pPr>
        <w:pStyle w:val="4"/>
        <w:spacing w:before="69"/>
        <w:ind w:left="351"/>
        <w:rPr>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2、</w:t>
      </w:r>
      <w:r>
        <w:rPr>
          <w:color w:val="000000" w:themeColor="text1"/>
          <w:sz w:val="22"/>
          <w:szCs w:val="22"/>
          <w:highlight w:val="none"/>
          <w14:textFill>
            <w14:solidFill>
              <w14:schemeClr w14:val="tx1"/>
            </w14:solidFill>
          </w14:textFill>
        </w:rPr>
        <w:t>分期支付：</w:t>
      </w:r>
    </w:p>
    <w:p>
      <w:pPr>
        <w:pStyle w:val="20"/>
        <w:numPr>
          <w:ilvl w:val="0"/>
          <w:numId w:val="0"/>
        </w:numPr>
        <w:tabs>
          <w:tab w:val="left" w:pos="797"/>
          <w:tab w:val="left" w:pos="2800"/>
          <w:tab w:val="left" w:pos="5814"/>
          <w:tab w:val="left" w:pos="7603"/>
          <w:tab w:val="left" w:pos="8599"/>
        </w:tabs>
        <w:spacing w:before="69"/>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1</w:t>
      </w:r>
      <w:r>
        <w:rPr>
          <w:rFonts w:hint="eastAsia"/>
          <w:color w:val="000000" w:themeColor="text1"/>
          <w:sz w:val="22"/>
          <w:szCs w:val="22"/>
          <w:highlight w:val="none"/>
          <w:lang w:eastAsia="zh-CN"/>
          <w14:textFill>
            <w14:solidFill>
              <w14:schemeClr w14:val="tx1"/>
            </w14:solidFill>
          </w14:textFill>
        </w:rPr>
        <w:t>）</w:t>
      </w:r>
      <w:r>
        <w:rPr>
          <w:color w:val="000000" w:themeColor="text1"/>
          <w:sz w:val="22"/>
          <w:szCs w:val="22"/>
          <w:highlight w:val="none"/>
          <w14:textFill>
            <w14:solidFill>
              <w14:schemeClr w14:val="tx1"/>
            </w14:solidFill>
          </w14:textFill>
        </w:rPr>
        <w:t>甲方应于本合同生效后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个工作日内向乙方支付合同总价款的</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ascii="Verdana" w:hAnsi="Verdana" w:eastAsia="Verdana"/>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作为预付款，计</w:t>
      </w:r>
      <w:r>
        <w:rPr>
          <w:rFonts w:ascii="Verdana" w:hAnsi="Verdana" w:eastAsia="Verdana"/>
          <w:color w:val="000000" w:themeColor="text1"/>
          <w:sz w:val="22"/>
          <w:szCs w:val="22"/>
          <w:highlight w:val="none"/>
          <w14:textFill>
            <w14:solidFill>
              <w14:schemeClr w14:val="tx1"/>
            </w14:solidFill>
          </w14:textFill>
        </w:rPr>
        <w:t>¥</w:t>
      </w:r>
      <w:r>
        <w:rPr>
          <w:rFonts w:ascii="Verdana" w:hAnsi="Verdana" w:eastAsia="Verdana"/>
          <w:color w:val="000000" w:themeColor="text1"/>
          <w:sz w:val="22"/>
          <w:szCs w:val="22"/>
          <w:highlight w:val="none"/>
          <w:u w:val="single" w:color="4068E0"/>
          <w14:textFill>
            <w14:solidFill>
              <w14:schemeClr w14:val="tx1"/>
            </w14:solidFill>
          </w14:textFill>
        </w:rPr>
        <w:t xml:space="preserve"> </w:t>
      </w:r>
      <w:r>
        <w:rPr>
          <w:rFonts w:hint="eastAsia" w:ascii="Verdana" w:hAnsi="Verdan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元（大写</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元整）；</w:t>
      </w:r>
    </w:p>
    <w:p>
      <w:pPr>
        <w:pStyle w:val="20"/>
        <w:numPr>
          <w:ilvl w:val="0"/>
          <w:numId w:val="0"/>
        </w:numPr>
        <w:tabs>
          <w:tab w:val="left" w:pos="797"/>
          <w:tab w:val="left" w:pos="2632"/>
          <w:tab w:val="left" w:pos="6150"/>
          <w:tab w:val="left" w:pos="7098"/>
          <w:tab w:val="left" w:pos="8095"/>
        </w:tabs>
        <w:spacing w:before="118"/>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2</w:t>
      </w:r>
      <w:r>
        <w:rPr>
          <w:rFonts w:hint="eastAsia"/>
          <w:color w:val="000000" w:themeColor="text1"/>
          <w:sz w:val="22"/>
          <w:szCs w:val="22"/>
          <w:highlight w:val="none"/>
          <w:lang w:eastAsia="zh-CN"/>
          <w14:textFill>
            <w14:solidFill>
              <w14:schemeClr w14:val="tx1"/>
            </w14:solidFill>
          </w14:textFill>
        </w:rPr>
        <w:t>）</w:t>
      </w:r>
      <w:r>
        <w:rPr>
          <w:color w:val="000000" w:themeColor="text1"/>
          <w:sz w:val="22"/>
          <w:szCs w:val="22"/>
          <w:highlight w:val="none"/>
          <w14:textFill>
            <w14:solidFill>
              <w14:schemeClr w14:val="tx1"/>
            </w14:solidFill>
          </w14:textFill>
        </w:rPr>
        <w:t>全部货物验收合格后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个工作日内，甲方向乙方支付合同总价款的</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ascii="Verdana" w:hAnsi="Verdana" w:eastAsia="Verdana"/>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，计</w:t>
      </w:r>
      <w:r>
        <w:rPr>
          <w:rFonts w:ascii="Verdana" w:hAnsi="Verdana" w:eastAsia="Verdana"/>
          <w:color w:val="000000" w:themeColor="text1"/>
          <w:sz w:val="22"/>
          <w:szCs w:val="22"/>
          <w:highlight w:val="none"/>
          <w14:textFill>
            <w14:solidFill>
              <w14:schemeClr w14:val="tx1"/>
            </w14:solidFill>
          </w14:textFill>
        </w:rPr>
        <w:t>¥</w:t>
      </w:r>
      <w:r>
        <w:rPr>
          <w:rFonts w:ascii="Verdana" w:hAnsi="Verdana" w:eastAsia="Verdana"/>
          <w:color w:val="000000" w:themeColor="text1"/>
          <w:sz w:val="22"/>
          <w:szCs w:val="22"/>
          <w:highlight w:val="none"/>
          <w:u w:val="single" w:color="4068E0"/>
          <w14:textFill>
            <w14:solidFill>
              <w14:schemeClr w14:val="tx1"/>
            </w14:solidFill>
          </w14:textFill>
        </w:rPr>
        <w:t xml:space="preserve"> </w:t>
      </w:r>
      <w:r>
        <w:rPr>
          <w:rFonts w:hint="eastAsia" w:ascii="Verdana" w:hAnsi="Verdan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元（大写</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元整）。</w:t>
      </w:r>
    </w:p>
    <w:p>
      <w:pPr>
        <w:pStyle w:val="20"/>
        <w:numPr>
          <w:ilvl w:val="0"/>
          <w:numId w:val="0"/>
        </w:numPr>
        <w:tabs>
          <w:tab w:val="left" w:pos="797"/>
          <w:tab w:val="left" w:pos="2632"/>
          <w:tab w:val="left" w:pos="6150"/>
          <w:tab w:val="left" w:pos="7098"/>
          <w:tab w:val="left" w:pos="8095"/>
        </w:tabs>
        <w:spacing w:before="118"/>
        <w:ind w:left="351" w:leftChars="0"/>
        <w:rPr>
          <w:rFonts w:hint="eastAsia" w:ascii="Times New Roman" w:hAnsi="Times New Roman" w:eastAsia="新宋体" w:cs="Times New Roman"/>
          <w:color w:val="auto"/>
          <w:sz w:val="22"/>
          <w:szCs w:val="22"/>
          <w:highlight w:val="none"/>
          <w:lang w:eastAsia="zh-CN"/>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3、</w:t>
      </w:r>
      <w:r>
        <w:rPr>
          <w:rFonts w:hint="eastAsia"/>
          <w:color w:val="000000" w:themeColor="text1"/>
          <w:sz w:val="22"/>
          <w:szCs w:val="22"/>
          <w:highlight w:val="none"/>
          <w:lang w:eastAsia="zh-CN"/>
          <w14:textFill>
            <w14:solidFill>
              <w14:schemeClr w14:val="tx1"/>
            </w14:solidFill>
          </w14:textFill>
        </w:rPr>
        <w:t>政府采购项目</w:t>
      </w:r>
      <w:r>
        <w:rPr>
          <w:rFonts w:hint="eastAsia" w:ascii="Times New Roman" w:hAnsi="Times New Roman" w:eastAsia="新宋体" w:cs="Times New Roman"/>
          <w:color w:val="auto"/>
          <w:sz w:val="22"/>
          <w:szCs w:val="22"/>
          <w:highlight w:val="none"/>
          <w:lang w:eastAsia="zh-CN"/>
        </w:rPr>
        <w:t>若乙方为中小微企业：在合同签订生效以及具备实施条件后，甲方通知乙方发货之日起7个工作日内，支付全部货款的40%作为预付款。剩余全部货款的60%在项目全部验收合格并收到乙方发票后的</w:t>
      </w:r>
      <w:r>
        <w:rPr>
          <w:rFonts w:hint="eastAsia" w:ascii="Times New Roman" w:hAnsi="Times New Roman" w:eastAsia="新宋体" w:cs="Times New Roman"/>
          <w:color w:val="auto"/>
          <w:sz w:val="22"/>
          <w:szCs w:val="22"/>
          <w:highlight w:val="none"/>
          <w:lang w:val="en-US" w:eastAsia="zh-CN"/>
        </w:rPr>
        <w:t>7个工作日</w:t>
      </w:r>
      <w:r>
        <w:rPr>
          <w:rFonts w:hint="eastAsia" w:ascii="Times New Roman" w:hAnsi="Times New Roman" w:eastAsia="新宋体" w:cs="Times New Roman"/>
          <w:color w:val="auto"/>
          <w:sz w:val="22"/>
          <w:szCs w:val="22"/>
          <w:highlight w:val="none"/>
          <w:lang w:eastAsia="zh-CN"/>
        </w:rPr>
        <w:t>内支付给乙方。</w:t>
      </w:r>
    </w:p>
    <w:p>
      <w:pPr>
        <w:pStyle w:val="20"/>
        <w:numPr>
          <w:ilvl w:val="0"/>
          <w:numId w:val="0"/>
        </w:numPr>
        <w:tabs>
          <w:tab w:val="left" w:pos="797"/>
          <w:tab w:val="left" w:pos="2632"/>
          <w:tab w:val="left" w:pos="6150"/>
          <w:tab w:val="left" w:pos="7098"/>
          <w:tab w:val="left" w:pos="8095"/>
        </w:tabs>
        <w:spacing w:before="118"/>
        <w:ind w:left="351" w:leftChars="0"/>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4、其他方式：</w:t>
      </w:r>
    </w:p>
    <w:p>
      <w:pPr>
        <w:pStyle w:val="3"/>
        <w:spacing w:before="16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九、税费</w:t>
      </w:r>
    </w:p>
    <w:p>
      <w:pPr>
        <w:pStyle w:val="4"/>
        <w:spacing w:before="23"/>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本合同执行中相关的一切税费均由乙方负担。</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十、质量保证及售后服务</w:t>
      </w:r>
    </w:p>
    <w:p>
      <w:pPr>
        <w:pStyle w:val="20"/>
        <w:numPr>
          <w:ilvl w:val="0"/>
          <w:numId w:val="0"/>
        </w:numPr>
        <w:tabs>
          <w:tab w:val="left" w:pos="522"/>
        </w:tabs>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乙方保证本合同中所供应的商品是最新生产的符合国家技术规格和质量标准的出厂原装</w:t>
      </w:r>
      <w:r>
        <w:rPr>
          <w:rFonts w:hint="eastAsia"/>
          <w:color w:val="000000" w:themeColor="text1"/>
          <w:sz w:val="22"/>
          <w:szCs w:val="22"/>
          <w14:textFill>
            <w14:solidFill>
              <w14:schemeClr w14:val="tx1"/>
            </w14:solidFill>
          </w14:textFill>
        </w:rPr>
        <w:t>的</w:t>
      </w:r>
      <w:r>
        <w:rPr>
          <w:color w:val="000000" w:themeColor="text1"/>
          <w:sz w:val="22"/>
          <w:szCs w:val="22"/>
          <w14:textFill>
            <w14:solidFill>
              <w14:schemeClr w14:val="tx1"/>
            </w14:solidFill>
          </w14:textFill>
        </w:rPr>
        <w:t>合格产品。如发生所供商品与合同不符，甲方</w:t>
      </w:r>
      <w:r>
        <w:rPr>
          <w:rFonts w:hint="eastAsia"/>
          <w:color w:val="000000" w:themeColor="text1"/>
          <w:sz w:val="22"/>
          <w:szCs w:val="22"/>
          <w14:textFill>
            <w14:solidFill>
              <w14:schemeClr w14:val="tx1"/>
            </w14:solidFill>
          </w14:textFill>
        </w:rPr>
        <w:t>（采购单位）有权拒收或退货，由此产生的一切责任和后果由乙方承担。</w:t>
      </w:r>
    </w:p>
    <w:p>
      <w:pPr>
        <w:pStyle w:val="20"/>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乙方提供的货物在质保期内因货物本身的质量问题发生故障，乙方应负责免费更换。对达不到技术要求者，根据实际情况，经双方协商，可按以下办法处理：</w:t>
      </w:r>
    </w:p>
    <w:p>
      <w:pPr>
        <w:pStyle w:val="20"/>
        <w:numPr>
          <w:ilvl w:val="0"/>
          <w:numId w:val="0"/>
        </w:numPr>
        <w:tabs>
          <w:tab w:val="left" w:pos="797"/>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1</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更换：由乙方承担所发生的全部费用。</w:t>
      </w:r>
    </w:p>
    <w:p>
      <w:pPr>
        <w:pStyle w:val="20"/>
        <w:numPr>
          <w:ilvl w:val="0"/>
          <w:numId w:val="0"/>
        </w:numPr>
        <w:tabs>
          <w:tab w:val="left" w:pos="797"/>
        </w:tabs>
        <w:spacing w:before="22"/>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贬值处理：由甲乙双方合议定价。</w:t>
      </w:r>
    </w:p>
    <w:p>
      <w:pPr>
        <w:pStyle w:val="20"/>
        <w:numPr>
          <w:ilvl w:val="0"/>
          <w:numId w:val="0"/>
        </w:numPr>
        <w:tabs>
          <w:tab w:val="left" w:pos="797"/>
        </w:tabs>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3</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退货处理：乙方应退还甲方支付的合同款，同时应承担该货物的直接费用（运输、保险、检验、货款利息及银行手续费等）。</w:t>
      </w:r>
    </w:p>
    <w:p>
      <w:pPr>
        <w:pStyle w:val="20"/>
        <w:numPr>
          <w:ilvl w:val="0"/>
          <w:numId w:val="0"/>
        </w:numPr>
        <w:tabs>
          <w:tab w:val="left" w:pos="522"/>
        </w:tabs>
        <w:spacing w:before="22"/>
        <w:ind w:left="350" w:leftChars="0"/>
        <w:rPr>
          <w:color w:val="000000" w:themeColor="text1"/>
          <w:sz w:val="22"/>
          <w:szCs w:val="22"/>
          <w:highlight w:val="none"/>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在质保期内，乙方应对货物出现的质量及安全问题负责处理解决并承担一切费用。</w:t>
      </w:r>
      <w:r>
        <w:rPr>
          <w:rFonts w:hint="eastAsia"/>
          <w:color w:val="000000" w:themeColor="text1"/>
          <w:sz w:val="22"/>
          <w:szCs w:val="22"/>
          <w14:textFill>
            <w14:solidFill>
              <w14:schemeClr w14:val="tx1"/>
            </w14:solidFill>
          </w14:textFill>
        </w:rPr>
        <w:t>质保</w:t>
      </w:r>
      <w:r>
        <w:rPr>
          <w:rFonts w:hint="eastAsia"/>
          <w:color w:val="000000" w:themeColor="text1"/>
          <w:sz w:val="22"/>
          <w:szCs w:val="22"/>
          <w:highlight w:val="none"/>
          <w14:textFill>
            <w14:solidFill>
              <w14:schemeClr w14:val="tx1"/>
            </w14:solidFill>
          </w14:textFill>
        </w:rPr>
        <w:t>期内货物故障率均不得超过</w:t>
      </w:r>
      <w:r>
        <w:rPr>
          <w:rFonts w:hint="eastAsia"/>
          <w:color w:val="000000" w:themeColor="text1"/>
          <w:sz w:val="22"/>
          <w:szCs w:val="22"/>
          <w:highlight w:val="none"/>
          <w:lang w:val="en-US" w:eastAsia="zh-CN"/>
          <w14:textFill>
            <w14:solidFill>
              <w14:schemeClr w14:val="tx1"/>
            </w14:solidFill>
          </w14:textFill>
        </w:rPr>
        <w:t>XXX</w:t>
      </w:r>
      <w:r>
        <w:rPr>
          <w:rFonts w:hint="eastAsia"/>
          <w:color w:val="000000" w:themeColor="text1"/>
          <w:sz w:val="22"/>
          <w:szCs w:val="22"/>
          <w:highlight w:val="none"/>
          <w14:textFill>
            <w14:solidFill>
              <w14:schemeClr w14:val="tx1"/>
            </w14:solidFill>
          </w14:textFill>
        </w:rPr>
        <w:t>天，每超过一天该货物质保期相应延长</w:t>
      </w:r>
      <w:r>
        <w:rPr>
          <w:rFonts w:hint="eastAsia"/>
          <w:color w:val="000000" w:themeColor="text1"/>
          <w:sz w:val="22"/>
          <w:szCs w:val="22"/>
          <w:highlight w:val="none"/>
          <w:lang w:val="en-US" w:eastAsia="zh-CN"/>
          <w14:textFill>
            <w14:solidFill>
              <w14:schemeClr w14:val="tx1"/>
            </w14:solidFill>
          </w14:textFill>
        </w:rPr>
        <w:t>XXX</w:t>
      </w:r>
      <w:r>
        <w:rPr>
          <w:rFonts w:hint="eastAsia"/>
          <w:color w:val="000000" w:themeColor="text1"/>
          <w:sz w:val="22"/>
          <w:szCs w:val="22"/>
          <w:highlight w:val="none"/>
          <w14:textFill>
            <w14:solidFill>
              <w14:schemeClr w14:val="tx1"/>
            </w14:solidFill>
          </w14:textFill>
        </w:rPr>
        <w:t>天。</w:t>
      </w:r>
    </w:p>
    <w:p>
      <w:pPr>
        <w:pStyle w:val="20"/>
        <w:numPr>
          <w:ilvl w:val="0"/>
          <w:numId w:val="0"/>
        </w:numPr>
        <w:tabs>
          <w:tab w:val="left" w:pos="522"/>
        </w:tabs>
        <w:spacing w:before="22"/>
        <w:ind w:left="350" w:leftChars="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4、</w:t>
      </w:r>
      <w:r>
        <w:rPr>
          <w:rFonts w:hint="eastAsia"/>
          <w:color w:val="000000" w:themeColor="text1"/>
          <w:sz w:val="22"/>
          <w:szCs w:val="22"/>
          <w:highlight w:val="none"/>
          <w14:textFill>
            <w14:solidFill>
              <w14:schemeClr w14:val="tx1"/>
            </w14:solidFill>
          </w14:textFill>
        </w:rPr>
        <w:t>上述的货物在质保期内免费保修，因人为因素出现的故障不在免费保修范围内。超过</w:t>
      </w:r>
      <w:r>
        <w:rPr>
          <w:rFonts w:hint="eastAsia"/>
          <w:color w:val="000000" w:themeColor="text1"/>
          <w:sz w:val="22"/>
          <w:szCs w:val="22"/>
          <w:highlight w:val="none"/>
          <w:lang w:val="en-US" w:eastAsia="zh-CN"/>
          <w14:textFill>
            <w14:solidFill>
              <w14:schemeClr w14:val="tx1"/>
            </w14:solidFill>
          </w14:textFill>
        </w:rPr>
        <w:t>质保</w:t>
      </w:r>
      <w:r>
        <w:rPr>
          <w:rFonts w:hint="eastAsia"/>
          <w:color w:val="000000" w:themeColor="text1"/>
          <w:sz w:val="22"/>
          <w:szCs w:val="22"/>
          <w:highlight w:val="none"/>
          <w14:textFill>
            <w14:solidFill>
              <w14:schemeClr w14:val="tx1"/>
            </w14:solidFill>
          </w14:textFill>
        </w:rPr>
        <w:t>期的机器设备，终生维修，维修时只收部件成本费。乙方应当在</w:t>
      </w:r>
      <w:r>
        <w:rPr>
          <w:rFonts w:hint="eastAsia"/>
          <w:color w:val="000000" w:themeColor="text1"/>
          <w:sz w:val="22"/>
          <w:szCs w:val="22"/>
          <w:highlight w:val="none"/>
          <w:lang w:eastAsia="zh-CN"/>
          <w14:textFill>
            <w14:solidFill>
              <w14:schemeClr w14:val="tx1"/>
            </w14:solidFill>
          </w14:textFill>
        </w:rPr>
        <w:t>接到</w:t>
      </w:r>
      <w:r>
        <w:rPr>
          <w:rFonts w:hint="eastAsia"/>
          <w:color w:val="000000" w:themeColor="text1"/>
          <w:sz w:val="22"/>
          <w:szCs w:val="22"/>
          <w:highlight w:val="none"/>
          <w14:textFill>
            <w14:solidFill>
              <w14:schemeClr w14:val="tx1"/>
            </w14:solidFill>
          </w14:textFill>
        </w:rPr>
        <w:t>甲方通知维修后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小时</w:t>
      </w:r>
      <w:r>
        <w:rPr>
          <w:rFonts w:hint="eastAsia"/>
          <w:color w:val="000000" w:themeColor="text1"/>
          <w:sz w:val="22"/>
          <w:szCs w:val="22"/>
          <w:highlight w:val="none"/>
          <w14:textFill>
            <w14:solidFill>
              <w14:schemeClr w14:val="tx1"/>
            </w14:solidFill>
          </w14:textFill>
        </w:rPr>
        <w:t>内</w:t>
      </w:r>
      <w:r>
        <w:rPr>
          <w:rFonts w:hint="eastAsia"/>
          <w:color w:val="000000" w:themeColor="text1"/>
          <w:sz w:val="22"/>
          <w:szCs w:val="22"/>
          <w:highlight w:val="none"/>
          <w:lang w:val="en-US" w:eastAsia="zh-CN"/>
          <w14:textFill>
            <w14:solidFill>
              <w14:schemeClr w14:val="tx1"/>
            </w14:solidFill>
          </w14:textFill>
        </w:rPr>
        <w:t>响应，</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hint="eastAsia"/>
          <w:color w:val="000000" w:themeColor="text1"/>
          <w:sz w:val="22"/>
          <w:szCs w:val="22"/>
          <w:highlight w:val="none"/>
          <w:u w:val="single" w:color="4068E0"/>
          <w:lang w:val="en-US" w:eastAsia="zh-CN"/>
          <w14:textFill>
            <w14:solidFill>
              <w14:schemeClr w14:val="tx1"/>
            </w14:solidFill>
          </w14:textFill>
        </w:rPr>
        <w:t>小时内</w:t>
      </w:r>
      <w:r>
        <w:rPr>
          <w:rFonts w:hint="eastAsia"/>
          <w:color w:val="000000" w:themeColor="text1"/>
          <w:sz w:val="22"/>
          <w:szCs w:val="22"/>
          <w:highlight w:val="none"/>
          <w14:textFill>
            <w14:solidFill>
              <w14:schemeClr w14:val="tx1"/>
            </w14:solidFill>
          </w14:textFill>
        </w:rPr>
        <w:t>到达货物所在地进行维修。</w:t>
      </w:r>
      <w:r>
        <w:rPr>
          <w:rFonts w:hint="eastAsia"/>
          <w:color w:val="000000" w:themeColor="text1"/>
          <w:sz w:val="22"/>
          <w:szCs w:val="22"/>
          <w:highlight w:val="none"/>
          <w:lang w:val="en-US" w:eastAsia="zh-CN"/>
          <w14:textFill>
            <w14:solidFill>
              <w14:schemeClr w14:val="tx1"/>
            </w14:solidFill>
          </w14:textFill>
        </w:rPr>
        <w:t>若乙方XX小时内无法维修的，乙方应当提供备用设备供甲方暂时使用。</w:t>
      </w:r>
    </w:p>
    <w:p>
      <w:pPr>
        <w:pStyle w:val="20"/>
        <w:numPr>
          <w:ilvl w:val="0"/>
          <w:numId w:val="0"/>
        </w:numPr>
        <w:tabs>
          <w:tab w:val="left" w:pos="522"/>
        </w:tabs>
        <w:spacing w:before="22"/>
        <w:ind w:left="350" w:leftChars="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5.整机终生免费提供软件功能升级服务，并及时提供设备新功能和临床应用的资料。零配件在该设备停产后仍需保证10年的供应。</w:t>
      </w:r>
    </w:p>
    <w:p>
      <w:pPr>
        <w:pStyle w:val="3"/>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十一、调试和验收</w:t>
      </w:r>
    </w:p>
    <w:p>
      <w:pPr>
        <w:pStyle w:val="20"/>
        <w:numPr>
          <w:ilvl w:val="0"/>
          <w:numId w:val="0"/>
        </w:numPr>
        <w:tabs>
          <w:tab w:val="left" w:pos="522"/>
        </w:tabs>
        <w:spacing w:before="106"/>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甲方对乙方提交的货物依据招标文件上的技术规格要求和国家有关质量标准进行现场验收。货到后，甲方需在</w:t>
      </w:r>
      <w:r>
        <w:rPr>
          <w:rFonts w:hint="eastAsia"/>
          <w:color w:val="000000" w:themeColor="text1"/>
          <w:sz w:val="22"/>
          <w:szCs w:val="22"/>
          <w14:textFill>
            <w14:solidFill>
              <w14:schemeClr w14:val="tx1"/>
            </w14:solidFill>
          </w14:textFill>
        </w:rPr>
        <w:t>二十</w:t>
      </w:r>
      <w:r>
        <w:rPr>
          <w:color w:val="000000" w:themeColor="text1"/>
          <w:sz w:val="22"/>
          <w:szCs w:val="22"/>
          <w14:textFill>
            <w14:solidFill>
              <w14:schemeClr w14:val="tx1"/>
            </w14:solidFill>
          </w14:textFill>
        </w:rPr>
        <w:t>个工作日内验收</w:t>
      </w:r>
      <w:r>
        <w:rPr>
          <w:rFonts w:hint="eastAsia"/>
          <w:color w:val="000000" w:themeColor="text1"/>
          <w:sz w:val="22"/>
          <w:szCs w:val="22"/>
          <w14:textFill>
            <w14:solidFill>
              <w14:schemeClr w14:val="tx1"/>
            </w14:solidFill>
          </w14:textFill>
        </w:rPr>
        <w:t>（质量等隐蔽瑕疵除外）。</w:t>
      </w:r>
    </w:p>
    <w:p>
      <w:pPr>
        <w:pStyle w:val="20"/>
        <w:numPr>
          <w:ilvl w:val="0"/>
          <w:numId w:val="0"/>
        </w:numPr>
        <w:tabs>
          <w:tab w:val="left" w:pos="522"/>
        </w:tabs>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乙方交货前应对产品作出全面检查和对验收文件进行整理，并列出清单，作为甲方收货验收和使用的技术条件依据，检验的结果应随货物交甲方。</w:t>
      </w:r>
    </w:p>
    <w:p>
      <w:pPr>
        <w:pStyle w:val="20"/>
        <w:numPr>
          <w:ilvl w:val="0"/>
          <w:numId w:val="0"/>
        </w:numPr>
        <w:tabs>
          <w:tab w:val="left" w:pos="522"/>
        </w:tabs>
        <w:spacing w:before="0"/>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pStyle w:val="20"/>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color w:val="000000" w:themeColor="text1"/>
          <w:sz w:val="22"/>
          <w:szCs w:val="22"/>
          <w14:textFill>
            <w14:solidFill>
              <w14:schemeClr w14:val="tx1"/>
            </w14:solidFill>
          </w14:textFill>
        </w:rPr>
        <w:t>对技术复杂的货物，甲方应请国家认可的专业检测机构参与验收，并由其出具质量检测报告。</w:t>
      </w:r>
    </w:p>
    <w:p>
      <w:pPr>
        <w:pStyle w:val="20"/>
        <w:numPr>
          <w:ilvl w:val="0"/>
          <w:numId w:val="0"/>
        </w:numPr>
        <w:tabs>
          <w:tab w:val="left" w:pos="522"/>
        </w:tabs>
        <w:spacing w:before="22"/>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5、</w:t>
      </w:r>
      <w:r>
        <w:rPr>
          <w:color w:val="000000" w:themeColor="text1"/>
          <w:sz w:val="22"/>
          <w:szCs w:val="22"/>
          <w14:textFill>
            <w14:solidFill>
              <w14:schemeClr w14:val="tx1"/>
            </w14:solidFill>
          </w14:textFill>
        </w:rPr>
        <w:t>验收时乙方必须在现场，验收完毕后作出验收结果报告；验收费用由乙方负责。</w:t>
      </w:r>
    </w:p>
    <w:p>
      <w:pPr>
        <w:pStyle w:val="20"/>
        <w:numPr>
          <w:ilvl w:val="0"/>
          <w:numId w:val="0"/>
        </w:numPr>
        <w:tabs>
          <w:tab w:val="left" w:pos="522"/>
        </w:tabs>
        <w:spacing w:before="22"/>
        <w:ind w:left="350" w:leftChars="0"/>
        <w:rPr>
          <w:rFonts w:hint="default"/>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6.</w:t>
      </w:r>
      <w:r>
        <w:rPr>
          <w:rFonts w:hint="eastAsia" w:ascii="新宋体" w:hAnsi="新宋体" w:eastAsia="新宋体" w:cs="新宋体"/>
          <w:b w:val="0"/>
          <w:bCs/>
          <w:sz w:val="22"/>
          <w:szCs w:val="22"/>
          <w:highlight w:val="none"/>
        </w:rPr>
        <w:t>验收过程中发现货物性能或功能达不到要求，</w:t>
      </w:r>
      <w:r>
        <w:rPr>
          <w:rFonts w:hint="eastAsia" w:ascii="新宋体" w:hAnsi="新宋体" w:eastAsia="新宋体" w:cs="新宋体"/>
          <w:b w:val="0"/>
          <w:bCs/>
          <w:sz w:val="22"/>
          <w:szCs w:val="22"/>
          <w:highlight w:val="none"/>
          <w:lang w:val="en-US" w:eastAsia="zh-CN"/>
        </w:rPr>
        <w:t>乙</w:t>
      </w:r>
      <w:r>
        <w:rPr>
          <w:rFonts w:hint="eastAsia" w:ascii="新宋体" w:hAnsi="新宋体" w:eastAsia="新宋体" w:cs="新宋体"/>
          <w:b w:val="0"/>
          <w:bCs/>
          <w:sz w:val="22"/>
          <w:szCs w:val="22"/>
          <w:highlight w:val="none"/>
        </w:rPr>
        <w:t>方必须更换有关部件，使货物最终达到规定的性能指标和功能要求，但必须在发现问题后15个工作日内完成。</w:t>
      </w:r>
    </w:p>
    <w:p>
      <w:pPr>
        <w:pStyle w:val="20"/>
        <w:numPr>
          <w:ilvl w:val="0"/>
          <w:numId w:val="0"/>
        </w:numPr>
        <w:tabs>
          <w:tab w:val="left" w:pos="522"/>
        </w:tabs>
        <w:spacing w:before="22"/>
        <w:ind w:left="351" w:leftChars="0"/>
        <w:rPr>
          <w:color w:val="000000" w:themeColor="text1"/>
          <w:sz w:val="22"/>
          <w:szCs w:val="22"/>
          <w14:textFill>
            <w14:solidFill>
              <w14:schemeClr w14:val="tx1"/>
            </w14:solidFill>
          </w14:textFill>
        </w:rPr>
      </w:pP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十二、货物包装</w:t>
      </w:r>
    </w:p>
    <w:p>
      <w:pPr>
        <w:pStyle w:val="20"/>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乙方应在货物发运前对其进行满足运输距离、防潮、防震、防锈和防破损装卸等要求包装，以保证货物安全运达甲方指定地点。</w:t>
      </w:r>
    </w:p>
    <w:p>
      <w:pPr>
        <w:pStyle w:val="20"/>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14:textFill>
            <w14:solidFill>
              <w14:schemeClr w14:val="tx1"/>
            </w14:solidFill>
          </w14:textFill>
        </w:rPr>
        <w:t>使用说明书、质量检验证明书、随配附件和工具以及清单一并附于货物内。</w:t>
      </w:r>
    </w:p>
    <w:p>
      <w:pPr>
        <w:pStyle w:val="20"/>
        <w:tabs>
          <w:tab w:val="left" w:pos="522"/>
        </w:tabs>
        <w:ind w:left="0" w:right="4471" w:firstLine="0"/>
        <w:rPr>
          <w:b/>
          <w:color w:val="000000" w:themeColor="text1"/>
          <w:sz w:val="22"/>
          <w:szCs w:val="22"/>
          <w14:textFill>
            <w14:solidFill>
              <w14:schemeClr w14:val="tx1"/>
            </w14:solidFill>
          </w14:textFill>
        </w:rPr>
      </w:pPr>
      <w:r>
        <w:rPr>
          <w:rFonts w:hint="eastAsia"/>
          <w:b/>
          <w:color w:val="000000" w:themeColor="text1"/>
          <w:spacing w:val="10"/>
          <w:sz w:val="22"/>
          <w:szCs w:val="22"/>
          <w14:textFill>
            <w14:solidFill>
              <w14:schemeClr w14:val="tx1"/>
            </w14:solidFill>
          </w14:textFill>
        </w:rPr>
        <w:t>十</w:t>
      </w:r>
      <w:r>
        <w:rPr>
          <w:b/>
          <w:color w:val="000000" w:themeColor="text1"/>
          <w:spacing w:val="10"/>
          <w:sz w:val="22"/>
          <w:szCs w:val="22"/>
          <w14:textFill>
            <w14:solidFill>
              <w14:schemeClr w14:val="tx1"/>
            </w14:solidFill>
          </w14:textFill>
        </w:rPr>
        <w:t>三、违约责任</w:t>
      </w:r>
    </w:p>
    <w:p>
      <w:pPr>
        <w:pStyle w:val="20"/>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甲方无正当理由拒收货物的，甲方向乙方</w:t>
      </w:r>
      <w:r>
        <w:rPr>
          <w:rFonts w:hint="eastAsia"/>
          <w:color w:val="000000" w:themeColor="text1"/>
          <w:sz w:val="22"/>
          <w:szCs w:val="22"/>
          <w:lang w:eastAsia="zh-CN"/>
          <w14:textFill>
            <w14:solidFill>
              <w14:schemeClr w14:val="tx1"/>
            </w14:solidFill>
          </w14:textFill>
        </w:rPr>
        <w:t>支付</w:t>
      </w:r>
      <w:r>
        <w:rPr>
          <w:color w:val="000000" w:themeColor="text1"/>
          <w:sz w:val="22"/>
          <w:szCs w:val="22"/>
          <w14:textFill>
            <w14:solidFill>
              <w14:schemeClr w14:val="tx1"/>
            </w14:solidFill>
          </w14:textFill>
        </w:rPr>
        <w:t>拒收货款总值的百分之五违约金。</w:t>
      </w:r>
    </w:p>
    <w:p>
      <w:pPr>
        <w:pStyle w:val="20"/>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乙方逾期交付货物的，乙方应按</w:t>
      </w:r>
      <w:r>
        <w:rPr>
          <w:rFonts w:hint="eastAsia"/>
          <w:color w:val="000000" w:themeColor="text1"/>
          <w:sz w:val="22"/>
          <w:szCs w:val="22"/>
          <w:lang w:val="en-US" w:eastAsia="zh-CN"/>
          <w14:textFill>
            <w14:solidFill>
              <w14:schemeClr w14:val="tx1"/>
            </w14:solidFill>
          </w14:textFill>
        </w:rPr>
        <w:t>合同总额</w:t>
      </w:r>
      <w:r>
        <w:rPr>
          <w:color w:val="000000" w:themeColor="text1"/>
          <w:sz w:val="22"/>
          <w:szCs w:val="22"/>
          <w14:textFill>
            <w14:solidFill>
              <w14:schemeClr w14:val="tx1"/>
            </w14:solidFill>
          </w14:textFill>
        </w:rPr>
        <w:t>每日千分之六向甲方支付违约金，由甲方从待付货款中扣除。逾期超过约定日期</w:t>
      </w:r>
      <w:r>
        <w:rPr>
          <w:rFonts w:hint="eastAsia"/>
          <w:color w:val="000000" w:themeColor="text1"/>
          <w:sz w:val="22"/>
          <w:szCs w:val="22"/>
          <w14:textFill>
            <w14:solidFill>
              <w14:schemeClr w14:val="tx1"/>
            </w14:solidFill>
          </w14:textFill>
        </w:rPr>
        <w:t>10个工作日不能交货的，甲方可解除本合同。乙方因逾期交货或因其他违约行为导致甲方解除合同的，乙方应向甲方支付合同总值</w:t>
      </w:r>
      <w:r>
        <w:rPr>
          <w:rFonts w:hint="eastAsia"/>
          <w:color w:val="000000" w:themeColor="text1"/>
          <w:sz w:val="22"/>
          <w:szCs w:val="22"/>
          <w:lang w:val="en-US" w:eastAsia="zh-CN"/>
          <w14:textFill>
            <w14:solidFill>
              <w14:schemeClr w14:val="tx1"/>
            </w14:solidFill>
          </w14:textFill>
        </w:rPr>
        <w:t xml:space="preserve"> </w:t>
      </w:r>
      <w:r>
        <w:rPr>
          <w:rFonts w:hint="eastAsia"/>
          <w:color w:val="000000" w:themeColor="text1"/>
          <w:sz w:val="22"/>
          <w:szCs w:val="22"/>
          <w14:textFill>
            <w14:solidFill>
              <w14:schemeClr w14:val="tx1"/>
            </w14:solidFill>
          </w14:textFill>
        </w:rPr>
        <w:t>5%</w:t>
      </w:r>
      <w:r>
        <w:rPr>
          <w:rFonts w:hint="eastAsia"/>
          <w:color w:val="000000" w:themeColor="text1"/>
          <w:sz w:val="22"/>
          <w:szCs w:val="22"/>
          <w:lang w:val="en-US" w:eastAsia="zh-CN"/>
          <w14:textFill>
            <w14:solidFill>
              <w14:schemeClr w14:val="tx1"/>
            </w14:solidFill>
          </w14:textFill>
        </w:rPr>
        <w:t xml:space="preserve"> </w:t>
      </w:r>
      <w:r>
        <w:rPr>
          <w:rFonts w:hint="eastAsia"/>
          <w:color w:val="000000" w:themeColor="text1"/>
          <w:sz w:val="22"/>
          <w:szCs w:val="22"/>
          <w14:textFill>
            <w14:solidFill>
              <w14:schemeClr w14:val="tx1"/>
            </w14:solidFill>
          </w14:textFill>
        </w:rPr>
        <w:t>的违约金，如造成甲方损失超过违约金的，超出部分由乙方继续承担赔偿责任。</w:t>
      </w:r>
    </w:p>
    <w:p>
      <w:pPr>
        <w:pStyle w:val="20"/>
        <w:numPr>
          <w:ilvl w:val="0"/>
          <w:numId w:val="0"/>
        </w:numPr>
        <w:tabs>
          <w:tab w:val="left" w:pos="522"/>
        </w:tabs>
        <w:spacing w:before="0"/>
        <w:ind w:left="351" w:leftChars="0"/>
        <w:rPr>
          <w:rFonts w:hint="eastAsia"/>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rFonts w:hint="eastAsia"/>
          <w:color w:val="000000" w:themeColor="text1"/>
          <w:sz w:val="22"/>
          <w:szCs w:val="22"/>
          <w14:textFill>
            <w14:solidFill>
              <w14:schemeClr w14:val="tx1"/>
            </w14:solidFill>
          </w14:textFill>
        </w:rPr>
        <w:t>乙方所交的货物品种、型号、规格、技术参数、质量不符合合同</w:t>
      </w:r>
      <w:r>
        <w:rPr>
          <w:rFonts w:hint="eastAsia"/>
          <w:color w:val="000000" w:themeColor="text1"/>
          <w:sz w:val="22"/>
          <w:szCs w:val="22"/>
          <w:lang w:eastAsia="zh-CN"/>
          <w14:textFill>
            <w14:solidFill>
              <w14:schemeClr w14:val="tx1"/>
            </w14:solidFill>
          </w14:textFill>
        </w:rPr>
        <w:t>约定</w:t>
      </w:r>
      <w:r>
        <w:rPr>
          <w:rFonts w:hint="eastAsia"/>
          <w:color w:val="000000" w:themeColor="text1"/>
          <w:sz w:val="22"/>
          <w:szCs w:val="22"/>
          <w14:textFill>
            <w14:solidFill>
              <w14:schemeClr w14:val="tx1"/>
            </w14:solidFill>
          </w14:textFill>
        </w:rPr>
        <w:t>及招标文件规定标准的，甲方有权拒收该货物，乙方愿意更换货物，但逾期交货的，按乙方逾期交货处理。乙方拒绝更换货物的，甲方可单方面解除合同。</w:t>
      </w:r>
    </w:p>
    <w:p>
      <w:pPr>
        <w:pStyle w:val="20"/>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lang w:eastAsia="zh-CN"/>
          <w14:textFill>
            <w14:solidFill>
              <w14:schemeClr w14:val="tx1"/>
            </w14:solidFill>
          </w14:textFill>
        </w:rPr>
        <w:t>由于乙方所提供的货物存在问题，给第三人人身或财产造成损害的，由乙方承担赔偿责任。若甲方承担赔偿责任后，有权向乙方追偿，包括但不限于律师费、诉讼费、交通费等。</w:t>
      </w:r>
    </w:p>
    <w:p>
      <w:pPr>
        <w:pStyle w:val="20"/>
        <w:numPr>
          <w:ilvl w:val="0"/>
          <w:numId w:val="0"/>
        </w:numPr>
        <w:ind w:left="350" w:leftChars="0"/>
        <w:rPr>
          <w:rFonts w:hint="eastAsia"/>
          <w:color w:val="000000" w:themeColor="text1"/>
          <w:sz w:val="22"/>
          <w:szCs w:val="22"/>
          <w14:textFill>
            <w14:solidFill>
              <w14:schemeClr w14:val="tx1"/>
            </w14:solidFill>
          </w14:textFill>
        </w:rPr>
      </w:pPr>
    </w:p>
    <w:p>
      <w:pPr>
        <w:pStyle w:val="3"/>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十四、不可抗力事件处理</w:t>
      </w:r>
    </w:p>
    <w:p>
      <w:pPr>
        <w:pStyle w:val="20"/>
        <w:numPr>
          <w:ilvl w:val="0"/>
          <w:numId w:val="0"/>
        </w:numPr>
        <w:tabs>
          <w:tab w:val="left" w:pos="522"/>
        </w:tabs>
        <w:spacing w:before="106"/>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在合同有效期内，任何一方因不可抗力事件导致不能履行合同，</w:t>
      </w:r>
      <w:r>
        <w:rPr>
          <w:rFonts w:hint="eastAsia"/>
          <w:color w:val="000000" w:themeColor="text1"/>
          <w:sz w:val="22"/>
          <w:szCs w:val="22"/>
          <w14:textFill>
            <w14:solidFill>
              <w14:schemeClr w14:val="tx1"/>
            </w14:solidFill>
          </w14:textFill>
        </w:rPr>
        <w:t>双方协商后，</w:t>
      </w:r>
      <w:r>
        <w:rPr>
          <w:color w:val="000000" w:themeColor="text1"/>
          <w:sz w:val="22"/>
          <w:szCs w:val="22"/>
          <w14:textFill>
            <w14:solidFill>
              <w14:schemeClr w14:val="tx1"/>
            </w14:solidFill>
          </w14:textFill>
        </w:rPr>
        <w:t>则合同履行期可延长，其延长期与不可抗力影响期相同。</w:t>
      </w:r>
    </w:p>
    <w:p>
      <w:pPr>
        <w:pStyle w:val="20"/>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不可抗力事件发生后，应立即通知对方，并寄送有关权威机构出具的证明。</w:t>
      </w:r>
    </w:p>
    <w:p>
      <w:pPr>
        <w:pStyle w:val="20"/>
        <w:numPr>
          <w:ilvl w:val="0"/>
          <w:numId w:val="0"/>
        </w:numPr>
        <w:tabs>
          <w:tab w:val="left" w:pos="522"/>
        </w:tabs>
        <w:spacing w:before="22"/>
        <w:ind w:left="351" w:leftChars="0"/>
        <w:rPr>
          <w:color w:val="000000" w:themeColor="text1"/>
          <w:sz w:val="22"/>
          <w:szCs w:val="22"/>
          <w14:textFill>
            <w14:solidFill>
              <w14:schemeClr w14:val="tx1"/>
            </w14:solidFill>
          </w14:textFill>
        </w:rPr>
      </w:pPr>
      <w:r>
        <w:rPr>
          <w:rFonts w:hint="eastAsia"/>
          <w:color w:val="000000" w:themeColor="text1"/>
          <w:spacing w:val="-3"/>
          <w:sz w:val="22"/>
          <w:szCs w:val="22"/>
          <w:lang w:val="en-US" w:eastAsia="zh-CN"/>
          <w14:textFill>
            <w14:solidFill>
              <w14:schemeClr w14:val="tx1"/>
            </w14:solidFill>
          </w14:textFill>
        </w:rPr>
        <w:t>3、</w:t>
      </w:r>
      <w:r>
        <w:rPr>
          <w:color w:val="000000" w:themeColor="text1"/>
          <w:spacing w:val="-3"/>
          <w:sz w:val="22"/>
          <w:szCs w:val="22"/>
          <w14:textFill>
            <w14:solidFill>
              <w14:schemeClr w14:val="tx1"/>
            </w14:solidFill>
          </w14:textFill>
        </w:rPr>
        <w:t xml:space="preserve">不可抗力事件延续 </w:t>
      </w:r>
      <w:r>
        <w:rPr>
          <w:color w:val="000000" w:themeColor="text1"/>
          <w:sz w:val="22"/>
          <w:szCs w:val="22"/>
          <w14:textFill>
            <w14:solidFill>
              <w14:schemeClr w14:val="tx1"/>
            </w14:solidFill>
          </w14:textFill>
        </w:rPr>
        <w:t>120天以上，双方</w:t>
      </w:r>
      <w:r>
        <w:rPr>
          <w:rFonts w:hint="eastAsia"/>
          <w:color w:val="000000" w:themeColor="text1"/>
          <w:sz w:val="22"/>
          <w:szCs w:val="22"/>
          <w14:textFill>
            <w14:solidFill>
              <w14:schemeClr w14:val="tx1"/>
            </w14:solidFill>
          </w14:textFill>
        </w:rPr>
        <w:t>可以</w:t>
      </w:r>
      <w:r>
        <w:rPr>
          <w:color w:val="000000" w:themeColor="text1"/>
          <w:sz w:val="22"/>
          <w:szCs w:val="22"/>
          <w14:textFill>
            <w14:solidFill>
              <w14:schemeClr w14:val="tx1"/>
            </w14:solidFill>
          </w14:textFill>
        </w:rPr>
        <w:t>通过友好协商，确定是否继续履行合同。</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十五、诉讼</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双方在执行合同中所发生的一切争议，应通过协商解决。如协商不成，可向甲方所在地法院起诉。</w:t>
      </w:r>
    </w:p>
    <w:p>
      <w:pPr>
        <w:pStyle w:val="3"/>
        <w:spacing w:before="107"/>
        <w:rPr>
          <w:sz w:val="22"/>
          <w:szCs w:val="22"/>
        </w:rPr>
      </w:pPr>
      <w:r>
        <w:rPr>
          <w:sz w:val="22"/>
          <w:szCs w:val="22"/>
        </w:rPr>
        <w:t>十六、合同生效及其它</w:t>
      </w:r>
    </w:p>
    <w:p>
      <w:pPr>
        <w:pStyle w:val="20"/>
        <w:numPr>
          <w:ilvl w:val="0"/>
          <w:numId w:val="0"/>
        </w:numPr>
        <w:tabs>
          <w:tab w:val="left" w:pos="522"/>
        </w:tabs>
        <w:ind w:left="351" w:leftChars="0"/>
        <w:rPr>
          <w:sz w:val="22"/>
          <w:szCs w:val="22"/>
        </w:rPr>
      </w:pPr>
      <w:r>
        <w:rPr>
          <w:rFonts w:hint="eastAsia"/>
          <w:sz w:val="22"/>
          <w:szCs w:val="22"/>
          <w:lang w:val="en-US" w:eastAsia="zh-CN"/>
        </w:rPr>
        <w:t>1、</w:t>
      </w:r>
      <w:r>
        <w:rPr>
          <w:sz w:val="22"/>
          <w:szCs w:val="22"/>
        </w:rPr>
        <w:t>本合同经甲、乙双方签字并加盖</w:t>
      </w:r>
      <w:r>
        <w:rPr>
          <w:rFonts w:hint="eastAsia"/>
          <w:sz w:val="22"/>
          <w:szCs w:val="22"/>
        </w:rPr>
        <w:t>合同专用章或单位公章</w:t>
      </w:r>
      <w:r>
        <w:rPr>
          <w:sz w:val="22"/>
          <w:szCs w:val="22"/>
        </w:rPr>
        <w:t>后生效。</w:t>
      </w:r>
    </w:p>
    <w:p>
      <w:pPr>
        <w:pStyle w:val="20"/>
        <w:numPr>
          <w:ilvl w:val="0"/>
          <w:numId w:val="0"/>
        </w:numPr>
        <w:tabs>
          <w:tab w:val="left" w:pos="522"/>
        </w:tabs>
        <w:ind w:left="351" w:leftChars="0" w:right="101" w:rightChars="0"/>
        <w:rPr>
          <w:sz w:val="22"/>
          <w:szCs w:val="22"/>
        </w:rPr>
      </w:pPr>
      <w:r>
        <w:rPr>
          <w:rFonts w:hint="eastAsia"/>
          <w:sz w:val="22"/>
          <w:szCs w:val="22"/>
          <w:lang w:val="en-US" w:eastAsia="zh-CN"/>
        </w:rPr>
        <w:t>2、</w:t>
      </w:r>
      <w:r>
        <w:rPr>
          <w:sz w:val="22"/>
          <w:szCs w:val="22"/>
        </w:rPr>
        <w:t>招标文件、投标文件、项目采购协议或入围承诺书与本合同具有同等法律效力。如前述各项文件之间约定不一致的，应以最新签署的文件内容为准。</w:t>
      </w:r>
    </w:p>
    <w:p>
      <w:pPr>
        <w:pStyle w:val="20"/>
        <w:numPr>
          <w:ilvl w:val="0"/>
          <w:numId w:val="0"/>
        </w:numPr>
        <w:tabs>
          <w:tab w:val="left" w:pos="522"/>
        </w:tabs>
        <w:spacing w:before="1"/>
        <w:ind w:left="350" w:leftChars="0"/>
        <w:rPr>
          <w:sz w:val="22"/>
          <w:szCs w:val="22"/>
        </w:rPr>
      </w:pPr>
      <w:r>
        <w:rPr>
          <w:rFonts w:hint="eastAsia"/>
          <w:sz w:val="22"/>
          <w:szCs w:val="22"/>
          <w:lang w:val="en-US" w:eastAsia="zh-CN"/>
        </w:rPr>
        <w:t>3、</w:t>
      </w:r>
      <w:r>
        <w:rPr>
          <w:sz w:val="22"/>
          <w:szCs w:val="22"/>
        </w:rPr>
        <w:t>本合同未尽事宜，</w:t>
      </w:r>
      <w:r>
        <w:rPr>
          <w:rFonts w:hint="eastAsia"/>
          <w:sz w:val="22"/>
          <w:szCs w:val="22"/>
        </w:rPr>
        <w:t>以招投标文件为准</w:t>
      </w:r>
      <w:r>
        <w:rPr>
          <w:sz w:val="22"/>
          <w:szCs w:val="22"/>
        </w:rPr>
        <w:t>。</w:t>
      </w:r>
    </w:p>
    <w:p>
      <w:pPr>
        <w:pStyle w:val="20"/>
        <w:numPr>
          <w:ilvl w:val="0"/>
          <w:numId w:val="0"/>
        </w:numPr>
        <w:ind w:left="350" w:leftChars="0"/>
        <w:rPr>
          <w:sz w:val="22"/>
          <w:szCs w:val="22"/>
        </w:rPr>
      </w:pPr>
      <w:r>
        <w:rPr>
          <w:rFonts w:hint="eastAsia"/>
          <w:sz w:val="22"/>
          <w:szCs w:val="22"/>
          <w:lang w:val="en-US" w:eastAsia="zh-CN"/>
        </w:rPr>
        <w:t>4、</w:t>
      </w:r>
      <w:r>
        <w:rPr>
          <w:rFonts w:hint="eastAsia"/>
          <w:sz w:val="22"/>
          <w:szCs w:val="22"/>
        </w:rPr>
        <w:t>本合同一式三份，甲方执二份，乙方执一份，具有同等法律效力。</w:t>
      </w:r>
    </w:p>
    <w:p>
      <w:pPr>
        <w:pStyle w:val="20"/>
        <w:numPr>
          <w:ilvl w:val="0"/>
          <w:numId w:val="0"/>
        </w:numPr>
        <w:ind w:left="350" w:leftChars="0"/>
        <w:rPr>
          <w:sz w:val="22"/>
          <w:szCs w:val="22"/>
        </w:rPr>
      </w:pPr>
      <w:r>
        <w:rPr>
          <w:rFonts w:hint="eastAsia"/>
          <w:sz w:val="22"/>
          <w:szCs w:val="22"/>
          <w:lang w:val="en-US" w:eastAsia="zh-CN"/>
        </w:rPr>
        <w:t>5、</w:t>
      </w:r>
      <w:r>
        <w:rPr>
          <w:rFonts w:hint="eastAsia"/>
          <w:sz w:val="22"/>
          <w:szCs w:val="22"/>
        </w:rPr>
        <w:t>附件设备配置清单系本合同不可分割的组成部分，与本合同具有同等法律效力。</w:t>
      </w:r>
    </w:p>
    <w:p>
      <w:pPr>
        <w:pStyle w:val="4"/>
        <w:spacing w:before="106" w:line="264" w:lineRule="auto"/>
        <w:ind w:left="105" w:right="209"/>
        <w:rPr>
          <w:sz w:val="22"/>
          <w:szCs w:val="22"/>
        </w:rPr>
      </w:pPr>
    </w:p>
    <w:p>
      <w:pPr>
        <w:pStyle w:val="4"/>
        <w:spacing w:before="106" w:line="264" w:lineRule="auto"/>
        <w:ind w:right="209"/>
        <w:rPr>
          <w:sz w:val="22"/>
          <w:szCs w:val="22"/>
        </w:rPr>
      </w:pPr>
    </w:p>
    <w:p>
      <w:pPr>
        <w:pStyle w:val="4"/>
        <w:spacing w:before="106" w:line="264" w:lineRule="auto"/>
        <w:ind w:left="105" w:right="209"/>
        <w:rPr>
          <w:sz w:val="22"/>
          <w:szCs w:val="22"/>
        </w:rPr>
      </w:pPr>
      <w:r>
        <w:rPr>
          <w:rFonts w:hint="eastAsia"/>
          <w:sz w:val="22"/>
          <w:szCs w:val="22"/>
        </w:rPr>
        <w:t>甲方（盖章）： 温州市中医院</w:t>
      </w:r>
      <w:r>
        <w:rPr>
          <w:rFonts w:hint="eastAsia"/>
          <w:sz w:val="22"/>
          <w:szCs w:val="22"/>
        </w:rPr>
        <w:tab/>
      </w:r>
      <w:r>
        <w:rPr>
          <w:rFonts w:hint="eastAsia"/>
          <w:sz w:val="22"/>
          <w:szCs w:val="22"/>
        </w:rPr>
        <w:tab/>
      </w:r>
      <w:r>
        <w:rPr>
          <w:rFonts w:hint="eastAsia"/>
          <w:sz w:val="22"/>
          <w:szCs w:val="22"/>
        </w:rPr>
        <w:t xml:space="preserve">              </w:t>
      </w:r>
      <w:r>
        <w:rPr>
          <w:rFonts w:hint="eastAsia"/>
          <w:sz w:val="22"/>
          <w:szCs w:val="22"/>
          <w:lang w:val="en-US" w:eastAsia="zh-CN"/>
        </w:rPr>
        <w:t xml:space="preserve"> </w:t>
      </w:r>
      <w:r>
        <w:rPr>
          <w:rFonts w:hint="eastAsia"/>
          <w:sz w:val="22"/>
          <w:szCs w:val="22"/>
        </w:rPr>
        <w:t xml:space="preserve">乙方（盖章）：  </w:t>
      </w:r>
    </w:p>
    <w:p>
      <w:pPr>
        <w:pStyle w:val="4"/>
        <w:spacing w:before="106" w:line="264" w:lineRule="auto"/>
        <w:ind w:left="105" w:right="209"/>
        <w:rPr>
          <w:sz w:val="22"/>
          <w:szCs w:val="22"/>
        </w:rPr>
      </w:pPr>
      <w:r>
        <w:rPr>
          <w:rFonts w:hint="eastAsia"/>
          <w:sz w:val="22"/>
          <w:szCs w:val="22"/>
        </w:rPr>
        <w:t>地址：温州市六虹桥路蛟尾路9号                   地址：</w:t>
      </w:r>
    </w:p>
    <w:p>
      <w:pPr>
        <w:pStyle w:val="4"/>
        <w:spacing w:before="106" w:line="264" w:lineRule="auto"/>
        <w:ind w:left="105" w:right="209"/>
        <w:rPr>
          <w:sz w:val="22"/>
          <w:szCs w:val="22"/>
        </w:rPr>
      </w:pPr>
      <w:r>
        <w:rPr>
          <w:rFonts w:hint="eastAsia"/>
          <w:sz w:val="22"/>
          <w:szCs w:val="22"/>
        </w:rPr>
        <w:t xml:space="preserve">法定（授权）代表人：                            法定（授权）代表人： </w:t>
      </w:r>
    </w:p>
    <w:p>
      <w:pPr>
        <w:pStyle w:val="4"/>
        <w:spacing w:before="106" w:line="264" w:lineRule="auto"/>
        <w:ind w:left="105" w:right="209"/>
        <w:rPr>
          <w:sz w:val="18"/>
        </w:rPr>
      </w:pPr>
      <w:r>
        <w:rPr>
          <w:rFonts w:hint="eastAsia"/>
          <w:sz w:val="22"/>
          <w:szCs w:val="22"/>
        </w:rPr>
        <w:t>签字日期：    年    月    日                    签字日期：    年   月   日</w:t>
      </w:r>
    </w:p>
    <w:p>
      <w:pPr>
        <w:widowControl/>
        <w:jc w:val="left"/>
        <w:rPr>
          <w:rFonts w:ascii="宋体" w:hAnsi="宋体" w:eastAsia="宋体" w:cs="宋体"/>
          <w:kern w:val="0"/>
          <w:szCs w:val="17"/>
          <w:lang w:val="zh-CN" w:bidi="zh-CN"/>
        </w:rPr>
      </w:pPr>
      <w:r>
        <w:br w:type="page"/>
      </w:r>
    </w:p>
    <w:p>
      <w:pPr>
        <w:jc w:val="center"/>
        <w:rPr>
          <w:b/>
          <w:sz w:val="36"/>
          <w:szCs w:val="36"/>
        </w:rPr>
      </w:pPr>
      <w:r>
        <w:rPr>
          <w:rFonts w:hint="eastAsia"/>
          <w:b/>
          <w:sz w:val="36"/>
          <w:szCs w:val="36"/>
        </w:rPr>
        <w:t>设备配置清单</w:t>
      </w:r>
    </w:p>
    <w:p>
      <w:pPr>
        <w:pStyle w:val="4"/>
        <w:rPr>
          <w:sz w:val="20"/>
        </w:rPr>
      </w:pPr>
    </w:p>
    <w:tbl>
      <w:tblPr>
        <w:tblStyle w:val="11"/>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pPr>
              <w:jc w:val="center"/>
              <w:rPr>
                <w:b/>
                <w:sz w:val="22"/>
                <w:szCs w:val="22"/>
              </w:rPr>
            </w:pPr>
            <w:r>
              <w:rPr>
                <w:rFonts w:hint="eastAsia"/>
                <w:b/>
                <w:sz w:val="22"/>
                <w:szCs w:val="22"/>
              </w:rPr>
              <w:t>序号</w:t>
            </w:r>
          </w:p>
        </w:tc>
        <w:tc>
          <w:tcPr>
            <w:tcW w:w="1231" w:type="dxa"/>
            <w:vAlign w:val="center"/>
          </w:tcPr>
          <w:p>
            <w:pPr>
              <w:jc w:val="center"/>
              <w:rPr>
                <w:b/>
                <w:sz w:val="22"/>
                <w:szCs w:val="22"/>
              </w:rPr>
            </w:pPr>
            <w:r>
              <w:rPr>
                <w:rFonts w:hint="eastAsia"/>
                <w:b/>
                <w:sz w:val="22"/>
                <w:szCs w:val="22"/>
              </w:rPr>
              <w:t>品牌</w:t>
            </w:r>
          </w:p>
        </w:tc>
        <w:tc>
          <w:tcPr>
            <w:tcW w:w="2934" w:type="dxa"/>
            <w:vAlign w:val="center"/>
          </w:tcPr>
          <w:p>
            <w:pPr>
              <w:jc w:val="center"/>
              <w:rPr>
                <w:b/>
                <w:sz w:val="22"/>
                <w:szCs w:val="22"/>
              </w:rPr>
            </w:pPr>
            <w:r>
              <w:rPr>
                <w:rFonts w:hint="eastAsia"/>
                <w:b/>
                <w:sz w:val="22"/>
                <w:szCs w:val="22"/>
              </w:rPr>
              <w:t>产品名称</w:t>
            </w:r>
          </w:p>
        </w:tc>
        <w:tc>
          <w:tcPr>
            <w:tcW w:w="1815" w:type="dxa"/>
            <w:vAlign w:val="center"/>
          </w:tcPr>
          <w:p>
            <w:pPr>
              <w:jc w:val="center"/>
              <w:rPr>
                <w:b/>
                <w:sz w:val="22"/>
                <w:szCs w:val="22"/>
              </w:rPr>
            </w:pPr>
            <w:r>
              <w:rPr>
                <w:rFonts w:hint="eastAsia"/>
                <w:b/>
                <w:sz w:val="22"/>
                <w:szCs w:val="22"/>
              </w:rPr>
              <w:t>规格型号</w:t>
            </w:r>
          </w:p>
        </w:tc>
        <w:tc>
          <w:tcPr>
            <w:tcW w:w="705" w:type="dxa"/>
            <w:vAlign w:val="center"/>
          </w:tcPr>
          <w:p>
            <w:pPr>
              <w:jc w:val="center"/>
              <w:rPr>
                <w:b/>
                <w:sz w:val="22"/>
                <w:szCs w:val="22"/>
              </w:rPr>
            </w:pPr>
            <w:r>
              <w:rPr>
                <w:rFonts w:hint="eastAsia"/>
                <w:b/>
                <w:sz w:val="22"/>
                <w:szCs w:val="22"/>
              </w:rPr>
              <w:t>数量</w:t>
            </w:r>
          </w:p>
        </w:tc>
        <w:tc>
          <w:tcPr>
            <w:tcW w:w="1110" w:type="dxa"/>
            <w:vAlign w:val="center"/>
          </w:tcPr>
          <w:p>
            <w:pPr>
              <w:jc w:val="center"/>
              <w:rPr>
                <w:b/>
                <w:sz w:val="22"/>
                <w:szCs w:val="22"/>
              </w:rPr>
            </w:pPr>
            <w:r>
              <w:rPr>
                <w:rFonts w:hint="eastAsia"/>
                <w:b/>
                <w:sz w:val="22"/>
                <w:szCs w:val="22"/>
              </w:rPr>
              <w:t>金额（元）</w:t>
            </w:r>
          </w:p>
        </w:tc>
        <w:tc>
          <w:tcPr>
            <w:tcW w:w="930" w:type="dxa"/>
            <w:vAlign w:val="center"/>
          </w:tcPr>
          <w:p>
            <w:pPr>
              <w:jc w:val="center"/>
              <w:rPr>
                <w:b/>
                <w:sz w:val="22"/>
                <w:szCs w:val="22"/>
              </w:rPr>
            </w:pPr>
            <w:r>
              <w:rPr>
                <w:rFonts w:hint="eastAsia"/>
                <w:b/>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2</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3</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4</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5</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6</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7</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8</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9</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10</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11</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12</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13</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14</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bl>
    <w:p>
      <w:pPr>
        <w:pStyle w:val="4"/>
        <w:rPr>
          <w:sz w:val="20"/>
        </w:rPr>
      </w:pPr>
    </w:p>
    <w:p>
      <w:pPr>
        <w:widowControl/>
        <w:jc w:val="left"/>
        <w:rPr>
          <w:rFonts w:ascii="宋体" w:hAnsi="宋体" w:eastAsia="宋体" w:cs="宋体"/>
          <w:kern w:val="0"/>
          <w:sz w:val="20"/>
          <w:szCs w:val="17"/>
          <w:lang w:val="zh-CN" w:bidi="zh-CN"/>
        </w:rPr>
      </w:pPr>
      <w:r>
        <w:rPr>
          <w:sz w:val="20"/>
        </w:rPr>
        <w:br w:type="page"/>
      </w:r>
    </w:p>
    <w:p>
      <w:pPr>
        <w:spacing w:line="440" w:lineRule="exact"/>
        <w:jc w:val="center"/>
        <w:rPr>
          <w:rFonts w:ascii="Calibri" w:hAnsi="Calibri" w:eastAsia="宋体" w:cs="Times New Roman"/>
          <w:b/>
          <w:sz w:val="28"/>
          <w:szCs w:val="28"/>
        </w:rPr>
      </w:pPr>
      <w:r>
        <w:rPr>
          <w:rFonts w:ascii="Calibri" w:hAnsi="Calibri" w:eastAsia="宋体" w:cs="Times New Roman"/>
          <w:b/>
          <w:sz w:val="28"/>
          <w:szCs w:val="28"/>
        </w:rPr>
        <w:t>廉洁购销合同</w:t>
      </w:r>
    </w:p>
    <w:p>
      <w:pPr>
        <w:spacing w:line="440" w:lineRule="exact"/>
        <w:rPr>
          <w:rFonts w:ascii="Calibri" w:hAnsi="Calibri" w:eastAsia="宋体" w:cs="Times New Roman"/>
          <w:bCs/>
          <w:sz w:val="22"/>
          <w:szCs w:val="22"/>
        </w:rPr>
      </w:pPr>
      <w:r>
        <w:rPr>
          <w:rFonts w:ascii="Calibri" w:hAnsi="Calibri" w:eastAsia="宋体" w:cs="Times New Roman"/>
          <w:sz w:val="22"/>
          <w:szCs w:val="22"/>
        </w:rPr>
        <w:t>甲方</w:t>
      </w:r>
      <w:r>
        <w:rPr>
          <w:rFonts w:ascii="Calibri" w:hAnsi="Calibri" w:eastAsia="宋体" w:cs="Times New Roman"/>
          <w:bCs/>
          <w:sz w:val="22"/>
          <w:szCs w:val="22"/>
        </w:rPr>
        <w:t>：</w:t>
      </w:r>
      <w:r>
        <w:rPr>
          <w:rFonts w:hint="eastAsia" w:ascii="Calibri" w:hAnsi="Calibri" w:eastAsia="宋体" w:cs="Times New Roman"/>
          <w:bCs/>
          <w:sz w:val="22"/>
          <w:szCs w:val="22"/>
        </w:rPr>
        <w:t>温州市中医院</w:t>
      </w:r>
    </w:p>
    <w:p>
      <w:pPr>
        <w:spacing w:line="440" w:lineRule="exact"/>
        <w:rPr>
          <w:rFonts w:hint="eastAsia" w:ascii="Calibri" w:hAnsi="Calibri" w:eastAsia="宋体" w:cs="Times New Roman"/>
          <w:bCs/>
          <w:sz w:val="22"/>
          <w:szCs w:val="22"/>
        </w:rPr>
      </w:pPr>
      <w:r>
        <w:rPr>
          <w:rFonts w:ascii="Calibri" w:hAnsi="Calibri" w:eastAsia="宋体" w:cs="Times New Roman"/>
          <w:sz w:val="22"/>
          <w:szCs w:val="22"/>
        </w:rPr>
        <w:t>乙方</w:t>
      </w:r>
      <w:r>
        <w:rPr>
          <w:rFonts w:ascii="Calibri" w:hAnsi="Calibri" w:eastAsia="宋体" w:cs="Times New Roman"/>
          <w:bCs/>
          <w:sz w:val="22"/>
          <w:szCs w:val="22"/>
        </w:rPr>
        <w:t>：</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为进一步加强医疗卫生行风建设，规范医疗卫生机构</w:t>
      </w:r>
      <w:r>
        <w:rPr>
          <w:rFonts w:hint="eastAsia" w:ascii="Calibri" w:hAnsi="Calibri" w:eastAsia="宋体" w:cs="Times New Roman"/>
          <w:bCs/>
          <w:sz w:val="22"/>
          <w:szCs w:val="22"/>
        </w:rPr>
        <w:t>各类</w:t>
      </w:r>
      <w:r>
        <w:rPr>
          <w:rFonts w:ascii="Calibri" w:hAnsi="Calibri" w:eastAsia="宋体" w:cs="Times New Roman"/>
          <w:bCs/>
          <w:sz w:val="22"/>
          <w:szCs w:val="22"/>
        </w:rPr>
        <w:t>购销行为，有效防范商业贿赂行为，营造公平交易、诚实守信的</w:t>
      </w:r>
      <w:r>
        <w:rPr>
          <w:rFonts w:hint="eastAsia" w:ascii="Calibri" w:hAnsi="Calibri" w:eastAsia="宋体" w:cs="Times New Roman"/>
          <w:bCs/>
          <w:sz w:val="22"/>
          <w:szCs w:val="22"/>
        </w:rPr>
        <w:t>“清廉医院”</w:t>
      </w:r>
      <w:r>
        <w:rPr>
          <w:rFonts w:ascii="Calibri" w:hAnsi="Calibri" w:eastAsia="宋体" w:cs="Times New Roman"/>
          <w:bCs/>
          <w:sz w:val="22"/>
          <w:szCs w:val="22"/>
        </w:rPr>
        <w:t>购销环境，经甲、乙双方协商，同意签订本合同，并共同遵守：</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一、甲乙双方按照《</w:t>
      </w:r>
      <w:r>
        <w:rPr>
          <w:rFonts w:hint="eastAsia" w:ascii="Calibri" w:hAnsi="Calibri" w:eastAsia="宋体" w:cs="Times New Roman"/>
          <w:bCs/>
          <w:sz w:val="22"/>
          <w:szCs w:val="22"/>
        </w:rPr>
        <w:t>民法典</w:t>
      </w:r>
      <w:r>
        <w:rPr>
          <w:rFonts w:ascii="Calibri" w:hAnsi="Calibri" w:eastAsia="宋体" w:cs="Times New Roman"/>
          <w:bCs/>
          <w:sz w:val="22"/>
          <w:szCs w:val="22"/>
        </w:rPr>
        <w:t>》</w:t>
      </w:r>
      <w:r>
        <w:rPr>
          <w:rFonts w:hint="eastAsia" w:ascii="Calibri" w:hAnsi="Calibri" w:eastAsia="宋体" w:cs="Times New Roman"/>
          <w:bCs/>
          <w:sz w:val="22"/>
          <w:szCs w:val="22"/>
        </w:rPr>
        <w:t>等相关法规要求，约定</w:t>
      </w:r>
      <w:r>
        <w:rPr>
          <w:rFonts w:ascii="Calibri" w:hAnsi="Calibri" w:eastAsia="宋体" w:cs="Times New Roman"/>
          <w:bCs/>
          <w:sz w:val="22"/>
          <w:szCs w:val="22"/>
        </w:rPr>
        <w:t>购销</w:t>
      </w:r>
      <w:r>
        <w:rPr>
          <w:rFonts w:hint="eastAsia" w:ascii="Calibri" w:hAnsi="Calibri" w:eastAsia="宋体" w:cs="Times New Roman"/>
          <w:bCs/>
          <w:sz w:val="22"/>
          <w:szCs w:val="22"/>
        </w:rPr>
        <w:t>包括但不限于</w:t>
      </w:r>
      <w:r>
        <w:rPr>
          <w:rFonts w:ascii="Calibri" w:hAnsi="Calibri" w:eastAsia="宋体" w:cs="Times New Roman"/>
          <w:bCs/>
          <w:sz w:val="22"/>
          <w:szCs w:val="22"/>
        </w:rPr>
        <w:t>药品、设备、耗材</w:t>
      </w:r>
      <w:r>
        <w:rPr>
          <w:rFonts w:hint="eastAsia" w:ascii="Calibri" w:hAnsi="Calibri" w:eastAsia="宋体" w:cs="Times New Roman"/>
          <w:bCs/>
          <w:sz w:val="22"/>
          <w:szCs w:val="22"/>
        </w:rPr>
        <w:t>、维保</w:t>
      </w:r>
      <w:r>
        <w:rPr>
          <w:rFonts w:ascii="Calibri" w:hAnsi="Calibri" w:eastAsia="宋体" w:cs="Times New Roman"/>
          <w:bCs/>
          <w:sz w:val="22"/>
          <w:szCs w:val="22"/>
        </w:rPr>
        <w:t>等</w:t>
      </w:r>
      <w:r>
        <w:rPr>
          <w:rFonts w:hint="eastAsia" w:ascii="Calibri" w:hAnsi="Calibri" w:eastAsia="宋体" w:cs="Times New Roman"/>
          <w:bCs/>
          <w:sz w:val="22"/>
          <w:szCs w:val="22"/>
        </w:rPr>
        <w:t>货物或服务</w:t>
      </w:r>
      <w:r>
        <w:rPr>
          <w:rFonts w:ascii="Calibri" w:hAnsi="Calibri" w:eastAsia="宋体" w:cs="Times New Roman"/>
          <w:bCs/>
          <w:sz w:val="22"/>
          <w:szCs w:val="22"/>
        </w:rPr>
        <w:t>。</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二、甲方应当严格执行合同验收、入库制度，对采购产品及发票进行查验，不得违反有关规定合同外采购、违价采购或从非规定渠道采购。</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四、严禁甲方工作人员利用任何途径和方式，为乙方统计医师个人及临床科室有关医药产品用量信息，或为乙方统计提供便利。</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五、乙方不得以回扣、宴请等方式影响甲方工作人员采购</w:t>
      </w:r>
      <w:r>
        <w:rPr>
          <w:rFonts w:hint="eastAsia" w:ascii="Calibri" w:hAnsi="Calibri" w:eastAsia="宋体" w:cs="Times New Roman"/>
          <w:bCs/>
          <w:sz w:val="22"/>
          <w:szCs w:val="22"/>
        </w:rPr>
        <w:t>或使用</w:t>
      </w:r>
      <w:r>
        <w:rPr>
          <w:rFonts w:ascii="Calibri" w:hAnsi="Calibri" w:eastAsia="宋体" w:cs="Times New Roman"/>
          <w:bCs/>
          <w:sz w:val="22"/>
          <w:szCs w:val="22"/>
        </w:rPr>
        <w:t>产品的选择权，不得在学术活动中提供旅游、超标准支付食宿费用。</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六、乙方指定</w:t>
      </w:r>
      <w:r>
        <w:rPr>
          <w:rFonts w:ascii="Calibri" w:hAnsi="Calibri" w:eastAsia="宋体" w:cs="Times New Roman"/>
          <w:bCs/>
          <w:sz w:val="22"/>
          <w:szCs w:val="22"/>
          <w:u w:val="single"/>
        </w:rPr>
        <w:t xml:space="preserve">                        </w:t>
      </w:r>
      <w:r>
        <w:rPr>
          <w:rFonts w:ascii="Calibri" w:hAnsi="Calibri" w:eastAsia="宋体" w:cs="Times New Roman"/>
          <w:bCs/>
          <w:sz w:val="22"/>
          <w:szCs w:val="22"/>
        </w:rPr>
        <w:t>作为销售代表洽谈业务。销售代表必须在工作时间到甲方指定地点联系商谈，不得到住院部、门诊部、医技科室等推销产品，不得借故到甲方相关领导、部门负责人及相关工作人员家中访谈并提供任何好处费。</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Calibri" w:hAnsi="Calibri" w:eastAsia="宋体" w:cs="Times New Roman"/>
          <w:bCs/>
          <w:sz w:val="22"/>
          <w:szCs w:val="22"/>
          <w:shd w:val="clear" w:color="auto" w:fill="FFFFFF"/>
        </w:rPr>
        <w:t>（国卫法制发〔2013〕50号）</w:t>
      </w:r>
      <w:r>
        <w:rPr>
          <w:rFonts w:hint="eastAsia" w:ascii="Calibri" w:hAnsi="Calibri" w:eastAsia="宋体" w:cs="Times New Roman"/>
          <w:bCs/>
          <w:sz w:val="22"/>
          <w:szCs w:val="22"/>
          <w:shd w:val="clear" w:color="auto" w:fill="FFFFFF"/>
        </w:rPr>
        <w:t>及《关于印发医疗机构工作人员廉洁从业九项准则的通知》（国卫医发〔2021〕37号）</w:t>
      </w:r>
      <w:r>
        <w:rPr>
          <w:rFonts w:ascii="Calibri" w:hAnsi="Calibri" w:eastAsia="宋体" w:cs="Times New Roman"/>
          <w:bCs/>
          <w:sz w:val="22"/>
          <w:szCs w:val="22"/>
        </w:rPr>
        <w:t>相关规定处理。</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八、本合同作为购销合同的重要组成部分，与购销合同一并执行，具有同等的法律效力。</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九、本合同一式</w:t>
      </w:r>
      <w:r>
        <w:rPr>
          <w:rFonts w:hint="eastAsia" w:ascii="Calibri" w:hAnsi="Calibri" w:eastAsia="宋体" w:cs="Times New Roman"/>
          <w:bCs/>
          <w:sz w:val="22"/>
          <w:szCs w:val="22"/>
          <w:lang w:val="en-US" w:eastAsia="zh-CN"/>
        </w:rPr>
        <w:t>二</w:t>
      </w:r>
      <w:r>
        <w:rPr>
          <w:rFonts w:ascii="Calibri" w:hAnsi="Calibri" w:eastAsia="宋体" w:cs="Times New Roman"/>
          <w:bCs/>
          <w:sz w:val="22"/>
          <w:szCs w:val="22"/>
        </w:rPr>
        <w:t>份，甲、乙双方各执一份，并从签订之日起生效。</w:t>
      </w:r>
    </w:p>
    <w:p>
      <w:pPr>
        <w:spacing w:line="440" w:lineRule="exact"/>
        <w:rPr>
          <w:rFonts w:ascii="Calibri" w:hAnsi="Calibri" w:eastAsia="宋体" w:cs="Times New Roman"/>
          <w:bCs/>
          <w:sz w:val="22"/>
          <w:szCs w:val="22"/>
        </w:rPr>
      </w:pP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甲方（盖章）：                     </w:t>
      </w:r>
      <w:r>
        <w:rPr>
          <w:rFonts w:hint="eastAsia" w:ascii="Calibri" w:hAnsi="Calibri" w:eastAsia="宋体" w:cs="Times New Roman"/>
          <w:bCs/>
          <w:sz w:val="22"/>
          <w:szCs w:val="22"/>
        </w:rPr>
        <w:t xml:space="preserve">       </w:t>
      </w:r>
      <w:r>
        <w:rPr>
          <w:rFonts w:ascii="Calibri" w:hAnsi="Calibri" w:eastAsia="宋体" w:cs="Times New Roman"/>
          <w:bCs/>
          <w:sz w:val="22"/>
          <w:szCs w:val="22"/>
        </w:rPr>
        <w:t>乙方（盖章）：</w:t>
      </w: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法定代表人（负责人）：             </w:t>
      </w:r>
      <w:r>
        <w:rPr>
          <w:rFonts w:hint="eastAsia" w:ascii="Calibri" w:hAnsi="Calibri" w:eastAsia="宋体" w:cs="Times New Roman"/>
          <w:bCs/>
          <w:sz w:val="22"/>
          <w:szCs w:val="22"/>
        </w:rPr>
        <w:t xml:space="preserve">       </w:t>
      </w:r>
      <w:r>
        <w:rPr>
          <w:rFonts w:ascii="Calibri" w:hAnsi="Calibri" w:eastAsia="宋体" w:cs="Times New Roman"/>
          <w:bCs/>
          <w:sz w:val="22"/>
          <w:szCs w:val="22"/>
        </w:rPr>
        <w:t>法定代表人（负责人）：</w:t>
      </w: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经办人签名：                     </w:t>
      </w:r>
      <w:r>
        <w:rPr>
          <w:rFonts w:hint="eastAsia" w:ascii="Calibri" w:hAnsi="Calibri" w:eastAsia="宋体" w:cs="Times New Roman"/>
          <w:bCs/>
          <w:sz w:val="22"/>
          <w:szCs w:val="22"/>
        </w:rPr>
        <w:t xml:space="preserve">       </w:t>
      </w:r>
      <w:r>
        <w:rPr>
          <w:rFonts w:ascii="Calibri" w:hAnsi="Calibri" w:eastAsia="宋体" w:cs="Times New Roman"/>
          <w:bCs/>
          <w:sz w:val="22"/>
          <w:szCs w:val="22"/>
        </w:rPr>
        <w:t xml:space="preserve"> 经办人签名：</w:t>
      </w:r>
    </w:p>
    <w:p>
      <w:pPr>
        <w:spacing w:line="440" w:lineRule="exact"/>
        <w:ind w:firstLine="550" w:firstLineChars="250"/>
        <w:rPr>
          <w:rFonts w:ascii="Calibri" w:hAnsi="Calibri" w:eastAsia="宋体" w:cs="Times New Roman"/>
          <w:sz w:val="18"/>
          <w:szCs w:val="24"/>
        </w:rPr>
      </w:pPr>
      <w:r>
        <w:rPr>
          <w:rFonts w:ascii="Calibri" w:hAnsi="Calibri" w:eastAsia="宋体" w:cs="Times New Roman"/>
          <w:bCs/>
          <w:sz w:val="22"/>
          <w:szCs w:val="22"/>
        </w:rPr>
        <w:t xml:space="preserve">年   月   日                      </w:t>
      </w:r>
      <w:r>
        <w:rPr>
          <w:rFonts w:hint="eastAsia" w:ascii="Calibri" w:hAnsi="Calibri" w:eastAsia="宋体" w:cs="Times New Roman"/>
          <w:bCs/>
          <w:sz w:val="22"/>
          <w:szCs w:val="22"/>
        </w:rPr>
        <w:t xml:space="preserve">       </w:t>
      </w:r>
      <w:r>
        <w:rPr>
          <w:rFonts w:ascii="Calibri" w:hAnsi="Calibri" w:eastAsia="宋体" w:cs="Times New Roman"/>
          <w:bCs/>
          <w:sz w:val="22"/>
          <w:szCs w:val="22"/>
        </w:rPr>
        <w:t xml:space="preserve"> 年   月  日</w:t>
      </w:r>
    </w:p>
    <w:p>
      <w:pPr>
        <w:jc w:val="center"/>
        <w:rPr>
          <w:rFonts w:asciiTheme="minorEastAsia" w:hAnsiTheme="minorEastAsia"/>
          <w:sz w:val="20"/>
          <w:szCs w:val="17"/>
        </w:rPr>
      </w:pPr>
    </w:p>
    <w:p>
      <w:pPr>
        <w:numPr>
          <w:ilvl w:val="0"/>
          <w:numId w:val="0"/>
        </w:numPr>
        <w:jc w:val="left"/>
        <w:rPr>
          <w:rFonts w:hint="default"/>
          <w:b/>
          <w:bCs/>
          <w:sz w:val="24"/>
          <w:lang w:val="en-US" w:eastAsia="zh-CN"/>
        </w:rPr>
      </w:pPr>
    </w:p>
    <w:sectPr>
      <w:pgSz w:w="11906" w:h="16838"/>
      <w:pgMar w:top="850" w:right="1417" w:bottom="85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Century Gothic">
    <w:altName w:val="Century"/>
    <w:panose1 w:val="020B0502020202020204"/>
    <w:charset w:val="00"/>
    <w:family w:val="swiss"/>
    <w:pitch w:val="default"/>
    <w:sig w:usb0="00000000"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BAE1D"/>
    <w:multiLevelType w:val="singleLevel"/>
    <w:tmpl w:val="11BBAE1D"/>
    <w:lvl w:ilvl="0" w:tentative="0">
      <w:start w:val="1"/>
      <w:numFmt w:val="chineseCounting"/>
      <w:suff w:val="nothing"/>
      <w:lvlText w:val="%1、"/>
      <w:lvlJc w:val="left"/>
      <w:rPr>
        <w:rFonts w:hint="eastAsia"/>
      </w:rPr>
    </w:lvl>
  </w:abstractNum>
  <w:abstractNum w:abstractNumId="1">
    <w:nsid w:val="1CFCF95C"/>
    <w:multiLevelType w:val="singleLevel"/>
    <w:tmpl w:val="1CFCF95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5MTM1ODcxZjQ3NGE4ODE2Njg0ODFkZTMzOWI0ZjUifQ=="/>
  </w:docVars>
  <w:rsids>
    <w:rsidRoot w:val="00733DD2"/>
    <w:rsid w:val="00026A1F"/>
    <w:rsid w:val="00061188"/>
    <w:rsid w:val="000A2FEB"/>
    <w:rsid w:val="000A5F9B"/>
    <w:rsid w:val="000B2223"/>
    <w:rsid w:val="00154B8C"/>
    <w:rsid w:val="001E31F7"/>
    <w:rsid w:val="0025720F"/>
    <w:rsid w:val="0027418F"/>
    <w:rsid w:val="002902FC"/>
    <w:rsid w:val="002F0826"/>
    <w:rsid w:val="00326C0F"/>
    <w:rsid w:val="003F3199"/>
    <w:rsid w:val="004131B4"/>
    <w:rsid w:val="00420CA3"/>
    <w:rsid w:val="00497393"/>
    <w:rsid w:val="004C713C"/>
    <w:rsid w:val="004E5E1A"/>
    <w:rsid w:val="004E7AFD"/>
    <w:rsid w:val="005147EF"/>
    <w:rsid w:val="005D37B9"/>
    <w:rsid w:val="005E2841"/>
    <w:rsid w:val="00602621"/>
    <w:rsid w:val="00612734"/>
    <w:rsid w:val="00671D4A"/>
    <w:rsid w:val="006A088D"/>
    <w:rsid w:val="00733DD2"/>
    <w:rsid w:val="007F05EF"/>
    <w:rsid w:val="0082310E"/>
    <w:rsid w:val="00855630"/>
    <w:rsid w:val="00863B91"/>
    <w:rsid w:val="008C37D0"/>
    <w:rsid w:val="008E4249"/>
    <w:rsid w:val="0093051F"/>
    <w:rsid w:val="00952609"/>
    <w:rsid w:val="009C1FBF"/>
    <w:rsid w:val="009E136B"/>
    <w:rsid w:val="009E4BCC"/>
    <w:rsid w:val="00A76C33"/>
    <w:rsid w:val="00A808E4"/>
    <w:rsid w:val="00A80B4E"/>
    <w:rsid w:val="00A93480"/>
    <w:rsid w:val="00B4172A"/>
    <w:rsid w:val="00BC00EB"/>
    <w:rsid w:val="00BF3469"/>
    <w:rsid w:val="00C969CF"/>
    <w:rsid w:val="00D06A7D"/>
    <w:rsid w:val="00D4297B"/>
    <w:rsid w:val="00D873FD"/>
    <w:rsid w:val="00D9066A"/>
    <w:rsid w:val="00DD12A9"/>
    <w:rsid w:val="00DE7ADB"/>
    <w:rsid w:val="00E51899"/>
    <w:rsid w:val="00EF7182"/>
    <w:rsid w:val="00F01072"/>
    <w:rsid w:val="00F26748"/>
    <w:rsid w:val="01E94947"/>
    <w:rsid w:val="02B15ED7"/>
    <w:rsid w:val="032B7EBE"/>
    <w:rsid w:val="03305FFE"/>
    <w:rsid w:val="037761DC"/>
    <w:rsid w:val="037819C8"/>
    <w:rsid w:val="04165086"/>
    <w:rsid w:val="07827398"/>
    <w:rsid w:val="079468F0"/>
    <w:rsid w:val="088815A9"/>
    <w:rsid w:val="0A277157"/>
    <w:rsid w:val="0A323667"/>
    <w:rsid w:val="0A964758"/>
    <w:rsid w:val="0B691EBF"/>
    <w:rsid w:val="0BDB7828"/>
    <w:rsid w:val="0D3C3F90"/>
    <w:rsid w:val="0D6B27A0"/>
    <w:rsid w:val="0D737863"/>
    <w:rsid w:val="0F9D510C"/>
    <w:rsid w:val="10827943"/>
    <w:rsid w:val="109B7C74"/>
    <w:rsid w:val="11D15B1C"/>
    <w:rsid w:val="11D56F8A"/>
    <w:rsid w:val="12053805"/>
    <w:rsid w:val="12531874"/>
    <w:rsid w:val="129A029D"/>
    <w:rsid w:val="12C9410A"/>
    <w:rsid w:val="136E04B8"/>
    <w:rsid w:val="13BA6745"/>
    <w:rsid w:val="14C02644"/>
    <w:rsid w:val="157B401A"/>
    <w:rsid w:val="165B3C1A"/>
    <w:rsid w:val="17453125"/>
    <w:rsid w:val="182217CF"/>
    <w:rsid w:val="184F31D7"/>
    <w:rsid w:val="19915A12"/>
    <w:rsid w:val="1A2E6DE6"/>
    <w:rsid w:val="1ABB0DE6"/>
    <w:rsid w:val="1D4821A9"/>
    <w:rsid w:val="202B56B1"/>
    <w:rsid w:val="22723315"/>
    <w:rsid w:val="22CF7097"/>
    <w:rsid w:val="22E944F8"/>
    <w:rsid w:val="232E51F6"/>
    <w:rsid w:val="23705E06"/>
    <w:rsid w:val="23884864"/>
    <w:rsid w:val="24C52651"/>
    <w:rsid w:val="27E45486"/>
    <w:rsid w:val="28DD687E"/>
    <w:rsid w:val="2A2D715C"/>
    <w:rsid w:val="2B057E38"/>
    <w:rsid w:val="2BA52826"/>
    <w:rsid w:val="2D7F5632"/>
    <w:rsid w:val="2E46068D"/>
    <w:rsid w:val="2EB05F76"/>
    <w:rsid w:val="2F3C6CF1"/>
    <w:rsid w:val="2FBD42B3"/>
    <w:rsid w:val="30D412A1"/>
    <w:rsid w:val="30E84F1F"/>
    <w:rsid w:val="316641F0"/>
    <w:rsid w:val="31BF6098"/>
    <w:rsid w:val="31F8416E"/>
    <w:rsid w:val="320E68FB"/>
    <w:rsid w:val="32CE7A3F"/>
    <w:rsid w:val="33951D5C"/>
    <w:rsid w:val="34117E05"/>
    <w:rsid w:val="348972DC"/>
    <w:rsid w:val="351B0D6F"/>
    <w:rsid w:val="351B624E"/>
    <w:rsid w:val="35633FD8"/>
    <w:rsid w:val="36AA02C8"/>
    <w:rsid w:val="37C66C9B"/>
    <w:rsid w:val="37D14649"/>
    <w:rsid w:val="3877509F"/>
    <w:rsid w:val="390F76E4"/>
    <w:rsid w:val="397306B8"/>
    <w:rsid w:val="39BD6D12"/>
    <w:rsid w:val="3BB420F5"/>
    <w:rsid w:val="3DB75172"/>
    <w:rsid w:val="3E9950E6"/>
    <w:rsid w:val="3F1B3C4A"/>
    <w:rsid w:val="402E62DF"/>
    <w:rsid w:val="402F4957"/>
    <w:rsid w:val="405108FA"/>
    <w:rsid w:val="40751336"/>
    <w:rsid w:val="4136403A"/>
    <w:rsid w:val="41EF774F"/>
    <w:rsid w:val="42660058"/>
    <w:rsid w:val="43824C1A"/>
    <w:rsid w:val="43A157C9"/>
    <w:rsid w:val="447334B4"/>
    <w:rsid w:val="449C5243"/>
    <w:rsid w:val="449E2D2B"/>
    <w:rsid w:val="458A740C"/>
    <w:rsid w:val="46094A05"/>
    <w:rsid w:val="460A3EB2"/>
    <w:rsid w:val="47537CEB"/>
    <w:rsid w:val="477517FF"/>
    <w:rsid w:val="479F5F87"/>
    <w:rsid w:val="497E50E4"/>
    <w:rsid w:val="49CC2349"/>
    <w:rsid w:val="4A254910"/>
    <w:rsid w:val="4AA864D5"/>
    <w:rsid w:val="4B956476"/>
    <w:rsid w:val="4CBE1552"/>
    <w:rsid w:val="4D3D3121"/>
    <w:rsid w:val="4D5D2365"/>
    <w:rsid w:val="4DCB17F7"/>
    <w:rsid w:val="4ED83989"/>
    <w:rsid w:val="5105209D"/>
    <w:rsid w:val="5273518F"/>
    <w:rsid w:val="529E0326"/>
    <w:rsid w:val="53423D16"/>
    <w:rsid w:val="534B0A6F"/>
    <w:rsid w:val="539D45B7"/>
    <w:rsid w:val="53CA557A"/>
    <w:rsid w:val="545A32FC"/>
    <w:rsid w:val="547D6E0D"/>
    <w:rsid w:val="55382DBA"/>
    <w:rsid w:val="55596194"/>
    <w:rsid w:val="55950B3F"/>
    <w:rsid w:val="56A54B82"/>
    <w:rsid w:val="584110E8"/>
    <w:rsid w:val="587C329C"/>
    <w:rsid w:val="595B205E"/>
    <w:rsid w:val="5A4777C5"/>
    <w:rsid w:val="5A6E001E"/>
    <w:rsid w:val="5AE71C9E"/>
    <w:rsid w:val="5CAD7C22"/>
    <w:rsid w:val="5CD36D91"/>
    <w:rsid w:val="5DEC7787"/>
    <w:rsid w:val="5DFE7766"/>
    <w:rsid w:val="60D904D8"/>
    <w:rsid w:val="60F93F09"/>
    <w:rsid w:val="61EE2A98"/>
    <w:rsid w:val="646461A1"/>
    <w:rsid w:val="65D31C24"/>
    <w:rsid w:val="6634293C"/>
    <w:rsid w:val="669F4579"/>
    <w:rsid w:val="680678AC"/>
    <w:rsid w:val="683E0693"/>
    <w:rsid w:val="685E7C65"/>
    <w:rsid w:val="68AB5C34"/>
    <w:rsid w:val="694279A9"/>
    <w:rsid w:val="698F00A6"/>
    <w:rsid w:val="6A670A41"/>
    <w:rsid w:val="6A800692"/>
    <w:rsid w:val="6AA92F34"/>
    <w:rsid w:val="6BAC3EA4"/>
    <w:rsid w:val="6BF3478F"/>
    <w:rsid w:val="6D370E4B"/>
    <w:rsid w:val="6DE10695"/>
    <w:rsid w:val="6E0B49D4"/>
    <w:rsid w:val="6E6658CD"/>
    <w:rsid w:val="6E7E61B3"/>
    <w:rsid w:val="6F1A55B9"/>
    <w:rsid w:val="6F9841D5"/>
    <w:rsid w:val="711B411C"/>
    <w:rsid w:val="73645C00"/>
    <w:rsid w:val="7392213F"/>
    <w:rsid w:val="739F5CC0"/>
    <w:rsid w:val="73F75A9D"/>
    <w:rsid w:val="748F3673"/>
    <w:rsid w:val="755C54CB"/>
    <w:rsid w:val="762B73A9"/>
    <w:rsid w:val="772F4719"/>
    <w:rsid w:val="773504DF"/>
    <w:rsid w:val="77FD6A1D"/>
    <w:rsid w:val="78667688"/>
    <w:rsid w:val="79492020"/>
    <w:rsid w:val="79B62264"/>
    <w:rsid w:val="7A192AA7"/>
    <w:rsid w:val="7B395E66"/>
    <w:rsid w:val="7C0B3B0A"/>
    <w:rsid w:val="7C4831AB"/>
    <w:rsid w:val="7CA6287C"/>
    <w:rsid w:val="7E4702F4"/>
    <w:rsid w:val="7E677C6B"/>
    <w:rsid w:val="7FD7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1"/>
    <w:pPr>
      <w:autoSpaceDE w:val="0"/>
      <w:autoSpaceDN w:val="0"/>
      <w:spacing w:before="106"/>
      <w:ind w:left="105"/>
      <w:jc w:val="left"/>
      <w:outlineLvl w:val="1"/>
    </w:pPr>
    <w:rPr>
      <w:rFonts w:ascii="宋体" w:hAnsi="宋体" w:eastAsia="宋体" w:cs="宋体"/>
      <w:b/>
      <w:bCs/>
      <w:kern w:val="0"/>
      <w:sz w:val="17"/>
      <w:szCs w:val="17"/>
      <w:lang w:val="zh-CN" w:bidi="zh-CN"/>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pPr>
      <w:autoSpaceDE w:val="0"/>
      <w:autoSpaceDN w:val="0"/>
      <w:jc w:val="left"/>
    </w:pPr>
    <w:rPr>
      <w:rFonts w:ascii="宋体" w:hAnsi="宋体" w:eastAsia="宋体" w:cs="宋体"/>
      <w:kern w:val="0"/>
      <w:sz w:val="17"/>
      <w:szCs w:val="17"/>
      <w:lang w:val="zh-CN" w:bidi="zh-CN"/>
    </w:rPr>
  </w:style>
  <w:style w:type="paragraph" w:styleId="5">
    <w:name w:val="Plain Text"/>
    <w:basedOn w:val="1"/>
    <w:autoRedefine/>
    <w:qFormat/>
    <w:uiPriority w:val="0"/>
    <w:rPr>
      <w:rFonts w:ascii="宋体" w:hAnsi="Courier New" w:cs="Courier New"/>
      <w:szCs w:val="21"/>
    </w:rPr>
  </w:style>
  <w:style w:type="paragraph" w:styleId="6">
    <w:name w:val="footer"/>
    <w:basedOn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eastAsia="宋体" w:asciiTheme="majorHAnsi" w:hAnsiTheme="majorHAnsi" w:cstheme="majorBidi"/>
      <w:b/>
      <w:bCs/>
      <w:sz w:val="32"/>
      <w:szCs w:val="32"/>
    </w:rPr>
  </w:style>
  <w:style w:type="paragraph" w:styleId="10">
    <w:name w:val="Body Text First Indent"/>
    <w:basedOn w:val="1"/>
    <w:autoRedefine/>
    <w:qFormat/>
    <w:uiPriority w:val="0"/>
    <w:pPr>
      <w:ind w:firstLine="420"/>
    </w:pPr>
    <w:rPr>
      <w:rFonts w:ascii="Calibri" w:hAnsi="Calibri" w:eastAsia="宋体" w:cs="Times New Roman"/>
    </w:rPr>
  </w:style>
  <w:style w:type="table" w:styleId="12">
    <w:name w:val="Table Grid"/>
    <w:basedOn w:val="11"/>
    <w:autoRedefine/>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22"/>
    <w:rPr>
      <w:b/>
    </w:rPr>
  </w:style>
  <w:style w:type="character" w:styleId="15">
    <w:name w:val="Emphasis"/>
    <w:autoRedefine/>
    <w:qFormat/>
    <w:uiPriority w:val="20"/>
    <w:rPr>
      <w:i/>
      <w:iCs/>
    </w:rPr>
  </w:style>
  <w:style w:type="character" w:styleId="16">
    <w:name w:val="Hyperlink"/>
    <w:basedOn w:val="13"/>
    <w:autoRedefine/>
    <w:qFormat/>
    <w:uiPriority w:val="0"/>
    <w:rPr>
      <w:color w:val="0000FF"/>
      <w:u w:val="single"/>
    </w:rPr>
  </w:style>
  <w:style w:type="character" w:customStyle="1" w:styleId="17">
    <w:name w:val="页眉 Char"/>
    <w:basedOn w:val="13"/>
    <w:link w:val="7"/>
    <w:autoRedefine/>
    <w:qFormat/>
    <w:uiPriority w:val="99"/>
    <w:rPr>
      <w:sz w:val="18"/>
      <w:szCs w:val="18"/>
    </w:rPr>
  </w:style>
  <w:style w:type="character" w:customStyle="1" w:styleId="18">
    <w:name w:val="页脚 Char"/>
    <w:basedOn w:val="13"/>
    <w:link w:val="6"/>
    <w:autoRedefine/>
    <w:qFormat/>
    <w:uiPriority w:val="99"/>
    <w:rPr>
      <w:sz w:val="18"/>
      <w:szCs w:val="18"/>
    </w:rPr>
  </w:style>
  <w:style w:type="paragraph" w:customStyle="1" w:styleId="19">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styleId="20">
    <w:name w:val="List Paragraph"/>
    <w:basedOn w:val="1"/>
    <w:autoRedefine/>
    <w:qFormat/>
    <w:uiPriority w:val="1"/>
    <w:pPr>
      <w:autoSpaceDE w:val="0"/>
      <w:autoSpaceDN w:val="0"/>
      <w:spacing w:before="21"/>
      <w:ind w:left="521" w:hanging="170"/>
      <w:jc w:val="left"/>
    </w:pPr>
    <w:rPr>
      <w:rFonts w:ascii="宋体" w:hAnsi="宋体" w:eastAsia="宋体" w:cs="宋体"/>
      <w:kern w:val="0"/>
      <w:sz w:val="22"/>
      <w:lang w:val="zh-CN" w:bidi="zh-CN"/>
    </w:rPr>
  </w:style>
  <w:style w:type="character" w:customStyle="1" w:styleId="21">
    <w:name w:val="NormalCharacter"/>
    <w:autoRedefine/>
    <w:semiHidden/>
    <w:qFormat/>
    <w:uiPriority w:val="0"/>
  </w:style>
  <w:style w:type="character" w:customStyle="1" w:styleId="22">
    <w:name w:val="font31"/>
    <w:basedOn w:val="13"/>
    <w:autoRedefine/>
    <w:qFormat/>
    <w:uiPriority w:val="0"/>
    <w:rPr>
      <w:rFonts w:hint="eastAsia" w:ascii="宋体" w:hAnsi="宋体" w:eastAsia="宋体" w:cs="宋体"/>
      <w:color w:val="000000"/>
      <w:sz w:val="24"/>
      <w:szCs w:val="24"/>
      <w:u w:val="none"/>
    </w:rPr>
  </w:style>
  <w:style w:type="character" w:customStyle="1" w:styleId="23">
    <w:name w:val="font11"/>
    <w:basedOn w:val="13"/>
    <w:autoRedefine/>
    <w:qFormat/>
    <w:uiPriority w:val="0"/>
    <w:rPr>
      <w:rFonts w:hint="eastAsia" w:ascii="宋体" w:hAnsi="宋体" w:eastAsia="宋体" w:cs="宋体"/>
      <w:color w:val="000000"/>
      <w:sz w:val="24"/>
      <w:szCs w:val="24"/>
      <w:u w:val="none"/>
    </w:rPr>
  </w:style>
  <w:style w:type="character" w:customStyle="1" w:styleId="24">
    <w:name w:val="font41"/>
    <w:basedOn w:val="13"/>
    <w:autoRedefine/>
    <w:qFormat/>
    <w:uiPriority w:val="0"/>
    <w:rPr>
      <w:rFonts w:hint="eastAsia" w:ascii="宋体" w:hAnsi="宋体" w:eastAsia="宋体" w:cs="宋体"/>
      <w:b/>
      <w:bCs/>
      <w:color w:val="000000"/>
      <w:sz w:val="24"/>
      <w:szCs w:val="24"/>
      <w:u w:val="none"/>
    </w:rPr>
  </w:style>
  <w:style w:type="character" w:customStyle="1" w:styleId="25">
    <w:name w:val="Anrede1IhrZeichen"/>
    <w:autoRedefine/>
    <w:qFormat/>
    <w:uiPriority w:val="0"/>
    <w:rPr>
      <w:rFonts w:hint="default" w:ascii="Arial" w:hAnsi="Arial"/>
      <w:sz w:val="20"/>
    </w:rPr>
  </w:style>
  <w:style w:type="paragraph" w:customStyle="1" w:styleId="26">
    <w:name w:val="AbsatzTableFormat"/>
    <w:basedOn w:val="1"/>
    <w:autoRedefine/>
    <w:qFormat/>
    <w:uiPriority w:val="0"/>
    <w:pPr>
      <w:widowControl/>
      <w:jc w:val="left"/>
    </w:pPr>
    <w:rPr>
      <w:rFonts w:ascii="Arial Narrow" w:hAnsi="Arial Narrow"/>
      <w:bCs/>
      <w:kern w:val="0"/>
      <w:sz w:val="22"/>
      <w:szCs w:val="21"/>
      <w:lang w:val="de-DE"/>
    </w:rPr>
  </w:style>
  <w:style w:type="paragraph" w:customStyle="1" w:styleId="27">
    <w:name w:val="Plain Text1"/>
    <w:basedOn w:val="28"/>
    <w:autoRedefine/>
    <w:qFormat/>
    <w:uiPriority w:val="0"/>
    <w:pPr>
      <w:widowControl/>
      <w:jc w:val="left"/>
    </w:pPr>
    <w:rPr>
      <w:rFonts w:ascii="宋体" w:hAnsi="Courier New"/>
    </w:rPr>
  </w:style>
  <w:style w:type="paragraph" w:customStyle="1" w:styleId="28">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9">
    <w:name w:val="正文 A"/>
    <w:autoRedefine/>
    <w:qFormat/>
    <w:uiPriority w:val="0"/>
    <w:pPr>
      <w:widowControl w:val="0"/>
      <w:jc w:val="both"/>
    </w:pPr>
    <w:rPr>
      <w:rFonts w:ascii="Century Gothic" w:hAnsi="Century Gothic"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WZSZYY.CN</Company>
  <Pages>12</Pages>
  <Words>1345</Words>
  <Characters>1408</Characters>
  <Lines>6</Lines>
  <Paragraphs>1</Paragraphs>
  <TotalTime>0</TotalTime>
  <ScaleCrop>false</ScaleCrop>
  <LinksUpToDate>false</LinksUpToDate>
  <CharactersWithSpaces>1412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2020-04-25T02:43:00Z</dcterms:created>
  <dc:creator>test</dc:creator>
  <cp:lastModifiedBy>李恩贤</cp:lastModifiedBy>
  <dcterms:modified xsi:type="dcterms:W3CDTF">2025-09-05T02:03:30Z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eyJoZGlkIjoiMjRiMzIwNTY3MTczYzNiN2UxOGJmYzAxNjg5MjZiNzQifQ==</vt:lpwstr>
  </property>
  <property fmtid="{D5CDD505-2E9C-101B-9397-08002B2CF9AE}" pid="3" name="KSOProductBuildVer">
    <vt:lpwstr>2052-12.1.0.16120</vt:lpwstr>
  </property>
  <property fmtid="{D5CDD505-2E9C-101B-9397-08002B2CF9AE}" pid="4" name="ICV">
    <vt:lpwstr>8B09752FB5884109ABEF19F6E0653487_13</vt:lpwstr>
  </property>
  <property fmtid="{D5CDD505-2E9C-101B-9397-08002B2CF9AE}" pid="5" name="KSOTemplateDocerSaveRecord">
    <vt:lpwstr>eyJoZGlkIjoiNmMyMTAzZGJhYmZjM2QxZDk4OTE3MDVkMTNlYTIzODgiLCJ1c2VySWQiOiIyNjc5NjA4NjEifQ==</vt:lpwstr>
  </property>
</Properties>
</file>