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6"/>
          <w:szCs w:val="36"/>
          <w:lang w:val="en-US" w:eastAsia="zh-CN"/>
        </w:rPr>
        <w:t>温州市中医院关于</w:t>
      </w:r>
      <w:r>
        <w:rPr>
          <w:rStyle w:val="14"/>
          <w:rFonts w:hint="eastAsia" w:asciiTheme="minorEastAsia" w:hAnsiTheme="minorEastAsia" w:cstheme="minorEastAsia"/>
          <w:b/>
          <w:bCs/>
          <w:sz w:val="36"/>
          <w:szCs w:val="36"/>
          <w:lang w:val="en-US" w:eastAsia="zh-CN"/>
        </w:rPr>
        <w:t>切片机</w:t>
      </w:r>
      <w:r>
        <w:rPr>
          <w:rStyle w:val="14"/>
          <w:rFonts w:hint="eastAsia" w:asciiTheme="minorEastAsia" w:hAnsiTheme="minorEastAsia" w:eastAsiaTheme="minorEastAsia" w:cstheme="minorEastAsia"/>
          <w:b/>
          <w:bCs/>
          <w:sz w:val="36"/>
          <w:szCs w:val="36"/>
          <w:lang w:val="en-US" w:eastAsia="zh-CN"/>
        </w:rPr>
        <w:t>的招标</w:t>
      </w:r>
    </w:p>
    <w:p>
      <w:pPr>
        <w:numPr>
          <w:ilvl w:val="0"/>
          <w:numId w:val="1"/>
        </w:numPr>
        <w:jc w:val="both"/>
        <w:rPr>
          <w:rStyle w:val="14"/>
          <w:rFonts w:hint="eastAsia" w:asciiTheme="minorEastAsia" w:hAnsiTheme="minorEastAsia" w:eastAsiaTheme="minorEastAsia" w:cstheme="minorEastAsia"/>
          <w:b/>
          <w:bCs/>
          <w:sz w:val="32"/>
          <w:szCs w:val="32"/>
        </w:rPr>
      </w:pPr>
      <w:r>
        <w:rPr>
          <w:rStyle w:val="14"/>
          <w:rFonts w:hint="eastAsia" w:asciiTheme="minorEastAsia" w:hAnsiTheme="minorEastAsia" w:eastAsiaTheme="minorEastAsia" w:cstheme="minorEastAsia"/>
          <w:b/>
          <w:bCs/>
          <w:sz w:val="32"/>
          <w:szCs w:val="32"/>
        </w:rPr>
        <w:t>项目基本情况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1434"/>
        <w:gridCol w:w="1435"/>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9" w:type="dxa"/>
            <w:vAlign w:val="top"/>
          </w:tcPr>
          <w:p>
            <w:pPr>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项目名称切片机</w:t>
            </w:r>
          </w:p>
        </w:tc>
        <w:tc>
          <w:tcPr>
            <w:tcW w:w="2869" w:type="dxa"/>
            <w:gridSpan w:val="2"/>
            <w:vAlign w:val="top"/>
          </w:tcPr>
          <w:p>
            <w:pPr>
              <w:jc w:val="both"/>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项目编号：</w:t>
            </w:r>
            <w:r>
              <w:rPr>
                <w:rFonts w:hint="eastAsia" w:asciiTheme="minorEastAsia" w:hAnsiTheme="minorEastAsia" w:cstheme="minorEastAsia"/>
                <w:color w:val="auto"/>
                <w:sz w:val="24"/>
                <w:szCs w:val="24"/>
                <w:vertAlign w:val="baseline"/>
                <w:lang w:val="en-US" w:eastAsia="zh-CN"/>
              </w:rPr>
              <w:t>2025-sb-cg-002</w:t>
            </w:r>
          </w:p>
        </w:tc>
        <w:tc>
          <w:tcPr>
            <w:tcW w:w="3440" w:type="dxa"/>
            <w:vAlign w:val="top"/>
          </w:tcPr>
          <w:p>
            <w:pPr>
              <w:jc w:val="both"/>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项目预算总金额：8万元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9" w:type="dxa"/>
          </w:tcPr>
          <w:p>
            <w:pPr>
              <w:jc w:val="both"/>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设备1：切片机</w:t>
            </w:r>
          </w:p>
        </w:tc>
        <w:tc>
          <w:tcPr>
            <w:tcW w:w="1434" w:type="dxa"/>
          </w:tcPr>
          <w:p>
            <w:pPr>
              <w:jc w:val="left"/>
              <w:rPr>
                <w:rFonts w:hint="default"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eastAsia="zh-CN"/>
              </w:rPr>
              <w:t>数量：1</w:t>
            </w:r>
          </w:p>
        </w:tc>
        <w:tc>
          <w:tcPr>
            <w:tcW w:w="1435"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国产</w:t>
            </w:r>
          </w:p>
        </w:tc>
        <w:tc>
          <w:tcPr>
            <w:tcW w:w="3440" w:type="dxa"/>
          </w:tcPr>
          <w:p>
            <w:pPr>
              <w:jc w:val="left"/>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预算</w:t>
            </w:r>
            <w:r>
              <w:rPr>
                <w:rFonts w:hint="eastAsia" w:ascii="宋体" w:hAnsi="宋体" w:eastAsia="宋体" w:cs="宋体"/>
                <w:b w:val="0"/>
                <w:bCs w:val="0"/>
                <w:color w:val="auto"/>
                <w:sz w:val="21"/>
                <w:szCs w:val="21"/>
                <w:lang w:val="en-US" w:eastAsia="zh-CN"/>
              </w:rPr>
              <w:t>单价：8万元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tcPr>
          <w:p>
            <w:pPr>
              <w:jc w:val="both"/>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eastAsia="zh-CN"/>
              </w:rPr>
              <w:t>不</w:t>
            </w:r>
            <w:r>
              <w:rPr>
                <w:rFonts w:hint="eastAsia" w:ascii="宋体" w:hAnsi="宋体" w:eastAsia="宋体" w:cs="宋体"/>
                <w:color w:val="auto"/>
                <w:sz w:val="21"/>
                <w:szCs w:val="21"/>
                <w:lang w:val="en-US" w:eastAsia="zh-CN"/>
              </w:rPr>
              <w:t>允许进口</w:t>
            </w:r>
          </w:p>
        </w:tc>
      </w:tr>
    </w:tbl>
    <w:p>
      <w:pPr>
        <w:jc w:val="both"/>
        <w:rPr>
          <w:rFonts w:hint="eastAsia" w:asciiTheme="minorEastAsia" w:hAnsiTheme="minorEastAsia" w:eastAsiaTheme="minorEastAsia" w:cstheme="minorEastAsia"/>
          <w:b w:val="0"/>
          <w:bCs w:val="0"/>
          <w:sz w:val="24"/>
          <w:szCs w:val="24"/>
        </w:rPr>
      </w:pPr>
    </w:p>
    <w:p>
      <w:pPr>
        <w:numPr>
          <w:ilvl w:val="0"/>
          <w:numId w:val="1"/>
        </w:numPr>
        <w:jc w:val="both"/>
        <w:rPr>
          <w:rStyle w:val="14"/>
          <w:rFonts w:hint="eastAsia" w:asciiTheme="minorEastAsia" w:hAnsiTheme="minorEastAsia" w:eastAsiaTheme="minorEastAsia" w:cstheme="minorEastAsia"/>
          <w:b/>
          <w:bCs/>
          <w:sz w:val="32"/>
          <w:szCs w:val="32"/>
          <w:lang w:val="en-US" w:eastAsia="zh-CN"/>
        </w:rPr>
      </w:pPr>
      <w:r>
        <w:rPr>
          <w:rStyle w:val="14"/>
          <w:rFonts w:hint="eastAsia" w:asciiTheme="minorEastAsia" w:hAnsiTheme="minorEastAsia" w:eastAsiaTheme="minorEastAsia" w:cstheme="minorEastAsia"/>
          <w:b/>
          <w:bCs/>
          <w:sz w:val="32"/>
          <w:szCs w:val="32"/>
          <w:lang w:val="en-US" w:eastAsia="zh-CN"/>
        </w:rPr>
        <w:t>采购方式和定标原则</w:t>
      </w:r>
    </w:p>
    <w:p>
      <w:pPr>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本项目我院采取院内组织公开招标的方式，以综合评分最高者中标的原则确定中标供应商。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获取招标文件</w:t>
      </w:r>
    </w:p>
    <w:p>
      <w:pPr>
        <w:pStyle w:val="8"/>
        <w:keepNext w:val="0"/>
        <w:keepLines w:val="0"/>
        <w:widowControl/>
        <w:suppressLineNumbers w:val="0"/>
        <w:spacing w:line="300" w:lineRule="atLeast"/>
        <w:rPr>
          <w:rFonts w:hint="eastAsia" w:asciiTheme="minorEastAsia" w:hAnsiTheme="minorEastAsia" w:eastAsiaTheme="minorEastAsia" w:cstheme="minorEastAsia"/>
          <w:kern w:val="2"/>
          <w:sz w:val="21"/>
          <w:szCs w:val="21"/>
          <w:highlight w:val="yellow"/>
          <w:lang w:val="en-US" w:eastAsia="zh-CN" w:bidi="ar-SA"/>
        </w:rPr>
      </w:pPr>
      <w:r>
        <w:rPr>
          <w:rFonts w:hint="eastAsia" w:asciiTheme="minorEastAsia" w:hAnsiTheme="minorEastAsia" w:eastAsiaTheme="minorEastAsia" w:cstheme="minorEastAsia"/>
          <w:kern w:val="2"/>
          <w:sz w:val="21"/>
          <w:szCs w:val="21"/>
          <w:lang w:val="en-US" w:eastAsia="zh-CN" w:bidi="ar-SA"/>
        </w:rPr>
        <w:t>地点（网址）</w:t>
      </w:r>
      <w:r>
        <w:rPr>
          <w:rFonts w:hint="eastAsia" w:asciiTheme="minorEastAsia" w:hAnsiTheme="minorEastAsia" w:eastAsiaTheme="minorEastAsia" w:cstheme="minorEastAsia"/>
          <w:kern w:val="2"/>
          <w:sz w:val="21"/>
          <w:szCs w:val="21"/>
          <w:highlight w:val="none"/>
          <w:lang w:val="en-US" w:eastAsia="zh-CN" w:bidi="ar-SA"/>
        </w:rPr>
        <w:t>：</w:t>
      </w:r>
      <w:r>
        <w:rPr>
          <w:rFonts w:hint="eastAsia" w:asciiTheme="minorEastAsia" w:hAnsiTheme="minorEastAsia" w:eastAsiaTheme="minorEastAsia" w:cstheme="minorEastAsia"/>
          <w:kern w:val="2"/>
          <w:sz w:val="21"/>
          <w:szCs w:val="21"/>
          <w:highlight w:val="none"/>
          <w:lang w:eastAsia="zh-CN"/>
        </w:rPr>
        <w:t>h</w:t>
      </w:r>
      <w:r>
        <w:rPr>
          <w:rFonts w:hint="eastAsia" w:asciiTheme="minorEastAsia" w:hAnsiTheme="minorEastAsia" w:eastAsiaTheme="minorEastAsia" w:cstheme="minorEastAsia"/>
          <w:kern w:val="2"/>
          <w:sz w:val="21"/>
          <w:szCs w:val="21"/>
          <w:lang w:eastAsia="zh-CN"/>
        </w:rPr>
        <w:t>ttp://www.wzszyy.com/</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提交投标文件截止时间、开标时间和地点</w:t>
      </w:r>
    </w:p>
    <w:p>
      <w:pP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cstheme="minorEastAsia"/>
          <w:kern w:val="2"/>
          <w:sz w:val="21"/>
          <w:szCs w:val="21"/>
          <w:lang w:val="en-US" w:eastAsia="zh-CN" w:bidi="ar-SA"/>
        </w:rPr>
        <w:t>1、</w:t>
      </w:r>
      <w:r>
        <w:rPr>
          <w:rFonts w:hint="eastAsia" w:asciiTheme="minorEastAsia" w:hAnsiTheme="minorEastAsia" w:eastAsiaTheme="minorEastAsia" w:cstheme="minorEastAsia"/>
          <w:kern w:val="2"/>
          <w:sz w:val="21"/>
          <w:szCs w:val="21"/>
          <w:lang w:val="en-US" w:eastAsia="zh-CN" w:bidi="ar-SA"/>
        </w:rPr>
        <w:t>提交投</w:t>
      </w:r>
      <w:r>
        <w:rPr>
          <w:rFonts w:hint="eastAsia" w:asciiTheme="minorEastAsia" w:hAnsiTheme="minorEastAsia" w:eastAsiaTheme="minorEastAsia" w:cstheme="minorEastAsia"/>
          <w:color w:val="auto"/>
          <w:kern w:val="2"/>
          <w:sz w:val="21"/>
          <w:szCs w:val="21"/>
          <w:lang w:val="en-US" w:eastAsia="zh-CN" w:bidi="ar-SA"/>
        </w:rPr>
        <w:t>标文件截止时间：</w:t>
      </w:r>
      <w:r>
        <w:rPr>
          <w:rFonts w:hint="eastAsia" w:asciiTheme="minorEastAsia" w:hAnsiTheme="minorEastAsia" w:cstheme="minorEastAsia"/>
          <w:kern w:val="2"/>
          <w:sz w:val="21"/>
          <w:szCs w:val="21"/>
          <w:lang w:val="en-US" w:eastAsia="zh-CN" w:bidi="ar-SA"/>
        </w:rPr>
        <w:t>2025年9月11日上午9：30（</w:t>
      </w:r>
      <w:r>
        <w:rPr>
          <w:rFonts w:hint="eastAsia" w:asciiTheme="minorEastAsia" w:hAnsiTheme="minorEastAsia" w:eastAsiaTheme="minorEastAsia" w:cstheme="minorEastAsia"/>
          <w:color w:val="auto"/>
          <w:kern w:val="2"/>
          <w:sz w:val="21"/>
          <w:szCs w:val="21"/>
          <w:lang w:val="en-US" w:eastAsia="zh-CN" w:bidi="ar-SA"/>
        </w:rPr>
        <w:t>北京时间）</w:t>
      </w:r>
      <w:r>
        <w:rPr>
          <w:rFonts w:hint="eastAsia" w:asciiTheme="minorEastAsia" w:hAnsiTheme="minorEastAsia" w:eastAsiaTheme="minorEastAsia" w:cstheme="minorEastAsia"/>
          <w:color w:val="auto"/>
          <w:kern w:val="2"/>
          <w:sz w:val="21"/>
          <w:szCs w:val="21"/>
          <w:lang w:val="en-US" w:eastAsia="zh-CN" w:bidi="ar-SA"/>
        </w:rPr>
        <w:br w:type="textWrapping"/>
      </w:r>
      <w:r>
        <w:rPr>
          <w:rFonts w:hint="eastAsia" w:asciiTheme="minorEastAsia" w:hAnsiTheme="minorEastAsia" w:cstheme="minorEastAsia"/>
          <w:color w:val="auto"/>
          <w:kern w:val="2"/>
          <w:sz w:val="21"/>
          <w:szCs w:val="21"/>
          <w:lang w:val="en-US" w:eastAsia="zh-CN" w:bidi="ar-SA"/>
        </w:rPr>
        <w:t>2、</w:t>
      </w:r>
      <w:r>
        <w:rPr>
          <w:rFonts w:hint="eastAsia" w:asciiTheme="minorEastAsia" w:hAnsiTheme="minorEastAsia" w:eastAsiaTheme="minorEastAsia" w:cstheme="minorEastAsia"/>
          <w:color w:val="auto"/>
          <w:kern w:val="2"/>
          <w:sz w:val="21"/>
          <w:szCs w:val="21"/>
          <w:lang w:val="en-US" w:eastAsia="zh-CN" w:bidi="ar-SA"/>
        </w:rPr>
        <w:t>开标时间：</w:t>
      </w:r>
      <w:r>
        <w:rPr>
          <w:rFonts w:hint="eastAsia" w:asciiTheme="minorEastAsia" w:hAnsiTheme="minorEastAsia" w:cstheme="minorEastAsia"/>
          <w:kern w:val="2"/>
          <w:sz w:val="21"/>
          <w:szCs w:val="21"/>
          <w:lang w:val="en-US" w:eastAsia="zh-CN" w:bidi="ar-SA"/>
        </w:rPr>
        <w:t>2025年9月11日上午9：30（北</w:t>
      </w:r>
      <w:r>
        <w:rPr>
          <w:rFonts w:hint="eastAsia" w:asciiTheme="minorEastAsia" w:hAnsiTheme="minorEastAsia" w:eastAsiaTheme="minorEastAsia" w:cstheme="minorEastAsia"/>
          <w:color w:val="auto"/>
          <w:kern w:val="2"/>
          <w:sz w:val="21"/>
          <w:szCs w:val="21"/>
          <w:lang w:val="en-US" w:eastAsia="zh-CN" w:bidi="ar-SA"/>
        </w:rPr>
        <w:t>京时间）</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3、</w:t>
      </w:r>
      <w:r>
        <w:rPr>
          <w:rFonts w:hint="eastAsia" w:asciiTheme="minorEastAsia" w:hAnsiTheme="minorEastAsia" w:eastAsiaTheme="minorEastAsia" w:cstheme="minorEastAsia"/>
          <w:kern w:val="2"/>
          <w:sz w:val="21"/>
          <w:szCs w:val="21"/>
          <w:lang w:val="en-US" w:eastAsia="zh-CN" w:bidi="ar-SA"/>
        </w:rPr>
        <w:t>开标地点：温州市中医院行政楼3楼</w:t>
      </w:r>
      <w:bookmarkStart w:id="0" w:name="_GoBack"/>
      <w:bookmarkEnd w:id="0"/>
      <w:r>
        <w:rPr>
          <w:rFonts w:hint="eastAsia" w:asciiTheme="minorEastAsia" w:hAnsiTheme="minorEastAsia" w:eastAsiaTheme="minorEastAsia" w:cstheme="minorEastAsia"/>
          <w:kern w:val="2"/>
          <w:sz w:val="21"/>
          <w:szCs w:val="21"/>
          <w:lang w:val="en-US" w:eastAsia="zh-CN" w:bidi="ar-SA"/>
        </w:rPr>
        <w:t xml:space="preserve">309会议室 </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4、</w:t>
      </w:r>
      <w:r>
        <w:rPr>
          <w:rFonts w:hint="eastAsia" w:asciiTheme="minorEastAsia" w:hAnsiTheme="minorEastAsia" w:eastAsiaTheme="minorEastAsia" w:cstheme="minorEastAsia"/>
          <w:kern w:val="2"/>
          <w:sz w:val="21"/>
          <w:szCs w:val="21"/>
          <w:lang w:val="en-US" w:eastAsia="zh-CN" w:bidi="ar-SA"/>
        </w:rPr>
        <w:t>包装要求:投标文件的技术资信标、商务（报价）标分别密封于包封袋中，并在封套的封口处加盖投标人单位章，并由法定代表人或其授权代表签字。</w:t>
      </w:r>
    </w:p>
    <w:p>
      <w:pPr>
        <w:rPr>
          <w:rFonts w:hint="eastAsia" w:asciiTheme="minorEastAsia" w:hAnsi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投标方式：接受邮寄和现场投递的纸质投标文件</w:t>
      </w:r>
    </w:p>
    <w:p>
      <w:pP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6、</w:t>
      </w:r>
      <w:r>
        <w:rPr>
          <w:rFonts w:hint="eastAsia" w:asciiTheme="minorEastAsia" w:hAnsiTheme="minorEastAsia" w:eastAsiaTheme="minorEastAsia" w:cstheme="minorEastAsia"/>
          <w:kern w:val="2"/>
          <w:sz w:val="21"/>
          <w:szCs w:val="21"/>
          <w:lang w:val="en-US" w:eastAsia="zh-CN" w:bidi="ar-SA"/>
        </w:rPr>
        <w:t>其他:招标文件一式三份，一正两副加盖公章</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公告期限 </w:t>
      </w:r>
    </w:p>
    <w:p>
      <w:pPr>
        <w:pStyle w:val="8"/>
        <w:keepNext w:val="0"/>
        <w:keepLines w:val="0"/>
        <w:widowControl/>
        <w:suppressLineNumbers w:val="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自本公告发布之日起5个工作日。</w:t>
      </w:r>
    </w:p>
    <w:p>
      <w:pPr>
        <w:numPr>
          <w:ilvl w:val="0"/>
          <w:numId w:val="1"/>
        </w:numPr>
        <w:ind w:left="0" w:leftChars="0" w:firstLine="0" w:firstLineChars="0"/>
        <w:jc w:val="both"/>
        <w:rPr>
          <w:rFonts w:hint="eastAsia" w:asciiTheme="minorEastAsia" w:hAnsiTheme="minorEastAsia" w:eastAsiaTheme="minorEastAsia" w:cstheme="minorEastAsia"/>
          <w:b/>
          <w:bCs/>
          <w:sz w:val="28"/>
          <w:szCs w:val="28"/>
        </w:rPr>
      </w:pPr>
      <w:r>
        <w:rPr>
          <w:rStyle w:val="14"/>
          <w:rFonts w:hint="eastAsia" w:asciiTheme="minorEastAsia" w:hAnsiTheme="minorEastAsia" w:eastAsiaTheme="minorEastAsia" w:cstheme="minorEastAsia"/>
          <w:b/>
          <w:bCs/>
          <w:kern w:val="2"/>
          <w:sz w:val="32"/>
          <w:szCs w:val="32"/>
          <w:lang w:val="en-US" w:eastAsia="zh-CN" w:bidi="ar-SA"/>
        </w:rPr>
        <w:t>投标文件编制要求</w:t>
      </w:r>
    </w:p>
    <w:p>
      <w:pPr>
        <w:snapToGrid w:val="0"/>
        <w:spacing w:line="360" w:lineRule="auto"/>
        <w:ind w:firstLine="365" w:firstLineChars="174"/>
        <w:jc w:val="left"/>
        <w:outlineLvl w:val="2"/>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（一）投标文件的组成</w:t>
      </w:r>
    </w:p>
    <w:p>
      <w:pPr>
        <w:snapToGrid w:val="0"/>
        <w:spacing w:line="360" w:lineRule="auto"/>
        <w:ind w:firstLine="420" w:firstLineChars="200"/>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投标文件由资格证明文件、商务技术文件和报价文件三部份组成</w:t>
      </w:r>
      <w:r>
        <w:rPr>
          <w:rFonts w:hint="eastAsia" w:asciiTheme="minorEastAsia" w:hAnsiTheme="minorEastAsia" w:eastAsiaTheme="minorEastAsia" w:cstheme="minorEastAsia"/>
          <w:b w:val="0"/>
          <w:bCs/>
          <w:sz w:val="21"/>
          <w:szCs w:val="21"/>
          <w:lang w:eastAsia="zh-CN"/>
        </w:rPr>
        <w:t>。</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1.资格证明文件：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（1）投标人资格承诺函；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（2）法人或者其他组织投标的提供营业执照等证明文件，自然人投标的提供身份证明；</w:t>
      </w:r>
    </w:p>
    <w:p>
      <w:pPr>
        <w:snapToGrid w:val="0"/>
        <w:spacing w:before="120" w:beforeLines="50"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 商务技术文件：</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（1）投标人营业执照；</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（2）投标人为医疗器械生产企业的：第二类、第三类医疗器械生产企业提供《医疗器械生产许可证》、第一类医疗器械生产企业提供第一类医疗器械生产备案凭证；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投标人为医疗器械经营企业的：第三类医疗器械经营企业提供《医疗器械经营许可证》、第二类医疗器械经营企业提供第二类医疗器械经营备案凭证；</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且投标人经备案或许可的经营范围必须包含本次投标的所有医疗器械；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sz w:val="21"/>
          <w:szCs w:val="21"/>
        </w:rPr>
        <w:t>（3）提供食品药品监督管理部门核发的完整有效的医疗器械注册或备案证明；</w:t>
      </w:r>
    </w:p>
    <w:p>
      <w:pPr>
        <w:snapToGrid w:val="0"/>
        <w:spacing w:line="360" w:lineRule="auto"/>
        <w:ind w:firstLine="411" w:firstLineChars="19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▲（4）货物制造商或其它有销售资格（提供证明材料）的供应商出具的授权书（适用于投标人是进口货物代理商的情形）；</w:t>
      </w:r>
    </w:p>
    <w:p>
      <w:pPr>
        <w:snapToGrid w:val="0"/>
        <w:spacing w:line="360" w:lineRule="auto"/>
        <w:ind w:firstLine="411" w:firstLineChars="196"/>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kern w:val="0"/>
          <w:sz w:val="21"/>
          <w:szCs w:val="21"/>
        </w:rPr>
        <w:t>（5）投标声明函</w:t>
      </w:r>
      <w:r>
        <w:rPr>
          <w:rFonts w:hint="eastAsia" w:asciiTheme="minorEastAsia" w:hAnsiTheme="minorEastAsia" w:eastAsiaTheme="minorEastAsia" w:cstheme="minorEastAsia"/>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（6）投标产品一览表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（7）技术响应表；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（8）合同条款响应承诺</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（9）设备配置清单；</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（10）消耗品或易耗品价格； </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（11）售后服务承诺书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（12）业绩证明</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（13）投标人建议的安装、调试、验收方法或方案；</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（14）技术服务、技术培训的内容和措施；</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（15）项目实施人员一览表</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（16）维修能力（详见评分标准要求）；</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（17）投标机型的彩页和原厂技术参数；</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sz w:val="21"/>
          <w:szCs w:val="21"/>
        </w:rPr>
        <w:t>）节能产品的相关证明材料：投标产品列入财政部、发展改革委发布的节能产品品目清单的，提供国家市场监督管理总局公布的《参与实施政府采购节能产品认证机构名录》内的认证机构出具的、处于有效期之内的节能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环境标志产品的相关证明材料：投标产品列入财政部、生态环境部发布的环境标志产品品目清单的，提供国家市场监督管理总局公布的《参与实施政府采购环境标志产品认证机构名录》内的认证机构出具的、处于有效期之内的环境标志产品认证证书；</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）评分方法中的评审证明文件等；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）投标人认为需要提供的其他文件。</w:t>
      </w:r>
    </w:p>
    <w:p>
      <w:pPr>
        <w:snapToGrid w:val="0"/>
        <w:spacing w:line="360" w:lineRule="auto"/>
        <w:ind w:firstLine="413" w:firstLineChars="196"/>
        <w:jc w:val="left"/>
        <w:rPr>
          <w:rFonts w:hint="eastAsia" w:asciiTheme="minorEastAsia" w:hAnsiTheme="minorEastAsia" w:eastAsiaTheme="minorEastAsia" w:cstheme="minorEastAsia"/>
          <w:b/>
          <w:sz w:val="21"/>
          <w:szCs w:val="21"/>
        </w:rPr>
      </w:pPr>
    </w:p>
    <w:p>
      <w:pPr>
        <w:snapToGrid w:val="0"/>
        <w:spacing w:line="360" w:lineRule="auto"/>
        <w:ind w:firstLine="411" w:firstLineChars="196"/>
        <w:jc w:val="left"/>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3.报价文件：</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（1）开标一览表；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（2）投标报价明细表；</w:t>
      </w:r>
    </w:p>
    <w:p>
      <w:pPr>
        <w:snapToGrid w:val="0"/>
        <w:spacing w:line="360" w:lineRule="auto"/>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（3）投标人针对报价需要说明的其他文件和说明（如有）；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（4）中小企业的相关证明材料（如有</w:t>
      </w:r>
      <w:r>
        <w:rPr>
          <w:rFonts w:hint="eastAsia" w:asciiTheme="minorEastAsia" w:hAnsiTheme="minorEastAsia" w:eastAsiaTheme="minorEastAsia" w:cstheme="minorEastAsia"/>
          <w:kern w:val="0"/>
          <w:sz w:val="21"/>
          <w:szCs w:val="21"/>
        </w:rPr>
        <w:t>）；</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（5）残疾人福利性单位声明函(如有）；</w:t>
      </w:r>
    </w:p>
    <w:p>
      <w:pPr>
        <w:snapToGrid w:val="0"/>
        <w:spacing w:line="360" w:lineRule="auto"/>
        <w:ind w:firstLine="411" w:firstLineChars="19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（6）由省级以上监狱管理局、戒毒管理局（含新疆生产建设兵团）出具的属于监狱企业的证明文件（如有）。</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商务、技术参数偏离表</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70" w:type="dxa"/>
          <w:bottom w:w="0" w:type="dxa"/>
          <w:right w:w="70" w:type="dxa"/>
        </w:tblCellMar>
      </w:tblPr>
      <w:tblGrid>
        <w:gridCol w:w="1436"/>
        <w:gridCol w:w="6601"/>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blHeader/>
        </w:trPr>
        <w:tc>
          <w:tcPr>
            <w:tcW w:w="703"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序号</w:t>
            </w:r>
          </w:p>
        </w:tc>
        <w:tc>
          <w:tcPr>
            <w:tcW w:w="3621"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招标要求</w:t>
            </w:r>
          </w:p>
        </w:tc>
        <w:tc>
          <w:tcPr>
            <w:tcW w:w="676" w:type="pct"/>
            <w:shd w:val="clear" w:color="auto" w:fill="CCCCCC"/>
            <w:vAlign w:val="center"/>
          </w:tcPr>
          <w:p>
            <w:pPr>
              <w:pStyle w:val="26"/>
              <w:jc w:val="center"/>
              <w:rPr>
                <w:rStyle w:val="25"/>
                <w:rFonts w:ascii="Times New Roman" w:hAnsi="Times New Roman"/>
                <w:bCs w:val="0"/>
                <w:sz w:val="24"/>
                <w:szCs w:val="24"/>
              </w:rPr>
            </w:pPr>
            <w:r>
              <w:rPr>
                <w:rStyle w:val="25"/>
                <w:rFonts w:ascii="Times New Roman" w:hAnsi="宋体"/>
                <w:bCs w:val="0"/>
                <w:sz w:val="24"/>
                <w:szCs w:val="24"/>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jc w:val="center"/>
              <w:rPr>
                <w:b/>
                <w:bCs/>
                <w:sz w:val="24"/>
              </w:rPr>
            </w:pPr>
            <w:r>
              <w:rPr>
                <w:rFonts w:hAnsi="宋体"/>
                <w:b/>
                <w:bCs/>
                <w:sz w:val="24"/>
              </w:rPr>
              <w:t>一</w:t>
            </w:r>
          </w:p>
        </w:tc>
        <w:tc>
          <w:tcPr>
            <w:tcW w:w="3621" w:type="pct"/>
            <w:vAlign w:val="center"/>
          </w:tcPr>
          <w:p>
            <w:pPr>
              <w:widowControl/>
              <w:jc w:val="left"/>
              <w:rPr>
                <w:b/>
                <w:bCs/>
                <w:color w:val="000000"/>
                <w:sz w:val="24"/>
                <w:lang w:bidi="ar"/>
              </w:rPr>
            </w:pPr>
            <w:r>
              <w:rPr>
                <w:rFonts w:eastAsia="新宋体"/>
                <w:b/>
                <w:bCs/>
                <w:color w:val="000000"/>
                <w:sz w:val="22"/>
                <w:szCs w:val="22"/>
                <w:lang w:bidi="ar"/>
              </w:rPr>
              <w:t>技术参数要求</w:t>
            </w:r>
          </w:p>
        </w:tc>
        <w:tc>
          <w:tcPr>
            <w:tcW w:w="676" w:type="pct"/>
            <w:vAlign w:val="center"/>
          </w:tcPr>
          <w:p>
            <w:pPr>
              <w:pStyle w:val="26"/>
              <w:rPr>
                <w:rStyle w:val="25"/>
                <w:rFonts w:ascii="Times New Roman" w:hAnsi="Times New Roman"/>
                <w:bCs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spacing w:line="360" w:lineRule="auto"/>
              <w:jc w:val="center"/>
              <w:rPr>
                <w:color w:val="000000"/>
                <w:sz w:val="24"/>
              </w:rPr>
            </w:pPr>
            <w:r>
              <w:rPr>
                <w:rFonts w:hint="eastAsia" w:ascii="宋体" w:hAnsi="宋体" w:cs="宋体"/>
                <w:b/>
                <w:szCs w:val="21"/>
              </w:rPr>
              <w:t>1.1</w:t>
            </w:r>
          </w:p>
        </w:tc>
        <w:tc>
          <w:tcPr>
            <w:tcW w:w="3621" w:type="pct"/>
          </w:tcPr>
          <w:p>
            <w:pPr>
              <w:pStyle w:val="20"/>
              <w:ind w:firstLine="0" w:firstLineChars="0"/>
              <w:jc w:val="left"/>
              <w:rPr>
                <w:color w:val="000000"/>
                <w:sz w:val="24"/>
              </w:rPr>
            </w:pPr>
            <w:r>
              <w:rPr>
                <w:rFonts w:hint="eastAsia" w:ascii="宋体" w:hAnsi="宋体"/>
                <w:b/>
                <w:szCs w:val="21"/>
              </w:rPr>
              <w:t>用途</w:t>
            </w:r>
            <w:r>
              <w:rPr>
                <w:rFonts w:ascii="宋体" w:hAnsi="宋体"/>
                <w:b/>
                <w:szCs w:val="21"/>
              </w:rPr>
              <w:t>：</w:t>
            </w:r>
            <w:r>
              <w:rPr>
                <w:rFonts w:hint="eastAsia" w:ascii="宋体" w:hAnsi="宋体"/>
                <w:b/>
                <w:szCs w:val="21"/>
              </w:rPr>
              <w:t>用于石蜡包埋组织切片制作</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widowControl/>
              <w:spacing w:line="360" w:lineRule="auto"/>
              <w:jc w:val="center"/>
              <w:rPr>
                <w:color w:val="000000"/>
                <w:sz w:val="24"/>
              </w:rPr>
            </w:pPr>
            <w:r>
              <w:rPr>
                <w:rFonts w:hint="eastAsia" w:ascii="宋体" w:hAnsi="宋体" w:cs="宋体"/>
                <w:b/>
                <w:szCs w:val="21"/>
              </w:rPr>
              <w:t>1.2</w:t>
            </w:r>
          </w:p>
        </w:tc>
        <w:tc>
          <w:tcPr>
            <w:tcW w:w="3621" w:type="pct"/>
            <w:vAlign w:val="center"/>
          </w:tcPr>
          <w:p>
            <w:pPr>
              <w:widowControl/>
              <w:spacing w:line="360" w:lineRule="auto"/>
              <w:rPr>
                <w:color w:val="000000"/>
                <w:sz w:val="24"/>
              </w:rPr>
            </w:pPr>
            <w:r>
              <w:rPr>
                <w:rFonts w:hint="eastAsia" w:ascii="宋体" w:hAnsi="宋体" w:cs="宋体"/>
                <w:b/>
                <w:szCs w:val="21"/>
              </w:rPr>
              <w:t>主要技术规格及系统概述：</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color w:val="000000"/>
                <w:sz w:val="24"/>
              </w:rPr>
            </w:pPr>
            <w:r>
              <w:rPr>
                <w:rFonts w:hint="eastAsia" w:ascii="宋体" w:hAnsi="宋体" w:cs="宋体"/>
                <w:b/>
                <w:bCs/>
                <w:szCs w:val="21"/>
              </w:rPr>
              <w:t>1.2.1</w:t>
            </w:r>
            <w:r>
              <w:rPr>
                <w:rFonts w:hint="eastAsia" w:ascii="宋体" w:hAnsi="宋体" w:cs="宋体"/>
                <w:szCs w:val="21"/>
              </w:rPr>
              <w:t>▲</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半自动石蜡切片机。进样方式：步进电机进样</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b/>
                <w:bCs/>
                <w:szCs w:val="21"/>
              </w:rPr>
            </w:pPr>
            <w:r>
              <w:rPr>
                <w:rFonts w:hint="eastAsia" w:ascii="宋体" w:hAnsi="宋体" w:cs="宋体"/>
                <w:b/>
                <w:bCs/>
                <w:szCs w:val="21"/>
              </w:rPr>
              <w:t>1.2.2</w:t>
            </w:r>
            <w:r>
              <w:rPr>
                <w:rFonts w:hint="eastAsia" w:ascii="宋体" w:hAnsi="宋体" w:cs="仿宋_GB2312"/>
                <w:szCs w:val="21"/>
              </w:rPr>
              <w:t>★</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样品尺寸要求：最大可达到50×60×40mm</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b/>
                <w:bCs/>
                <w:szCs w:val="21"/>
              </w:rPr>
            </w:pPr>
            <w:r>
              <w:rPr>
                <w:rFonts w:hint="eastAsia" w:ascii="宋体" w:hAnsi="宋体" w:cs="宋体"/>
                <w:b/>
                <w:bCs/>
                <w:szCs w:val="21"/>
              </w:rPr>
              <w:t>1.2.3</w:t>
            </w:r>
          </w:p>
        </w:tc>
        <w:tc>
          <w:tcPr>
            <w:tcW w:w="3621" w:type="pct"/>
            <w:vAlign w:val="center"/>
          </w:tcPr>
          <w:p>
            <w:pPr>
              <w:pStyle w:val="20"/>
              <w:ind w:firstLine="0" w:firstLineChars="0"/>
              <w:jc w:val="left"/>
              <w:rPr>
                <w:rFonts w:ascii="宋体" w:hAnsi="宋体"/>
                <w:bCs/>
                <w:szCs w:val="21"/>
              </w:rPr>
            </w:pPr>
            <w:r>
              <w:rPr>
                <w:rFonts w:hint="eastAsia" w:ascii="宋体" w:hAnsi="宋体"/>
                <w:bCs/>
                <w:szCs w:val="21"/>
              </w:rPr>
              <w:t>具有样品回缩功能，5-100μm可调，以5μm递进，可开关</w:t>
            </w:r>
          </w:p>
        </w:tc>
        <w:tc>
          <w:tcPr>
            <w:tcW w:w="676" w:type="pct"/>
            <w:vAlign w:val="center"/>
          </w:tcPr>
          <w:p>
            <w:pPr>
              <w:widowControl/>
              <w:spacing w:line="360" w:lineRule="auto"/>
              <w:jc w:val="center"/>
              <w:rPr>
                <w:rStyle w:val="25"/>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b/>
                <w:szCs w:val="21"/>
              </w:rPr>
            </w:pPr>
            <w:r>
              <w:rPr>
                <w:rFonts w:hint="eastAsia" w:ascii="宋体" w:hAnsi="宋体" w:cs="宋体"/>
                <w:b/>
                <w:bCs/>
                <w:szCs w:val="21"/>
              </w:rPr>
              <w:t>1.2.4</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样品水平进样距离≥30mm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1.2.5</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垂直移动距离≥70mm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1.2.6</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切片厚度范围：0.5μm～100μm可调</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1.2.7</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样品修块厚度设定范围：1-600μm</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1.2.8</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双控修片模式:2种(手动小手轮和控制面板按键半自动模式）</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1.2.9</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电动粗进：20μm\s点动和1000μm\s</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1.2.10</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样本调节方向：垂直8度可调，水平8度可调</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1.2.11</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快速样品夹可横向、纵向二个方向固定蜡块</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1.2.12</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具有O°精确定位系统</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1.2.13</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配备一次性窄刀片刀架，刀架可方便左右、前后移动，切片时无需移动刀片，刀片全长可用，刀架可通过简便操作使刀架旋转，表面易清洁</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1.2.14</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刀架底座前后移动距离±24mm</w:t>
            </w:r>
          </w:p>
        </w:tc>
        <w:tc>
          <w:tcPr>
            <w:tcW w:w="676" w:type="pct"/>
            <w:vAlign w:val="center"/>
          </w:tcPr>
          <w:p>
            <w:pPr>
              <w:widowControl/>
              <w:spacing w:line="360" w:lineRule="auto"/>
              <w:rPr>
                <w:rFonts w:hint="eastAsia" w:ascii="宋体" w:hAnsi="宋体" w:cs="宋体"/>
                <w:szCs w:val="21"/>
              </w:rPr>
            </w:pPr>
            <w:r>
              <w:rPr>
                <w:rFonts w:hint="eastAsia" w:ascii="宋体" w:hAnsi="宋体" w:cs="宋体"/>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center"/>
              <w:rPr>
                <w:rFonts w:hint="eastAsia" w:ascii="宋体" w:hAnsi="宋体" w:cs="宋体"/>
                <w:szCs w:val="21"/>
              </w:rPr>
            </w:pPr>
            <w:r>
              <w:rPr>
                <w:rFonts w:hint="eastAsia" w:ascii="宋体" w:hAnsi="宋体" w:cs="宋体"/>
                <w:b/>
                <w:bCs/>
                <w:szCs w:val="21"/>
              </w:rPr>
              <w:t>1.2.15</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具有大容量磁力废物槽</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1.2.16</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机器具有自动休眠功能，任意键或转动大手轮一圈唤醒唤醒</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1.2.17</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标本夹前后行程即时显示，极限位置有声音提醒</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1.2.18</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具备小手轮快速复位功能</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1.2.19</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个性化小手轮转动方向可调，可选择顺时针或逆时针进样</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宋体"/>
                <w:szCs w:val="21"/>
              </w:rPr>
            </w:pPr>
            <w:r>
              <w:rPr>
                <w:rFonts w:hint="eastAsia" w:ascii="宋体" w:hAnsi="宋体" w:cs="宋体"/>
                <w:b/>
                <w:bCs/>
                <w:szCs w:val="21"/>
              </w:rPr>
              <w:t>1.2.20</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液晶显示，具有切片计数和累计厚度功能，实时显示</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szCs w:val="21"/>
              </w:rPr>
            </w:pPr>
            <w:r>
              <w:rPr>
                <w:rFonts w:hint="eastAsia" w:ascii="宋体" w:hAnsi="宋体" w:cs="宋体"/>
                <w:b/>
                <w:bCs/>
                <w:szCs w:val="21"/>
              </w:rPr>
              <w:t>1.2.21</w:t>
            </w:r>
            <w:r>
              <w:rPr>
                <w:rFonts w:hint="eastAsia" w:ascii="宋体" w:hAnsi="宋体" w:cs="仿宋_GB2312"/>
                <w:szCs w:val="21"/>
              </w:rPr>
              <w:t>★</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具有自动注油系统</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jc w:val="center"/>
              <w:rPr>
                <w:rFonts w:hint="eastAsia" w:ascii="宋体" w:hAnsi="宋体" w:cs="仿宋_GB2312"/>
                <w:szCs w:val="21"/>
              </w:rPr>
            </w:pPr>
            <w:r>
              <w:rPr>
                <w:rFonts w:hint="eastAsia" w:ascii="宋体" w:hAnsi="宋体" w:cs="宋体"/>
                <w:b/>
                <w:bCs/>
                <w:szCs w:val="21"/>
              </w:rPr>
              <w:t>1.2.22</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具有可折叠把手，方便搬动机器</w:t>
            </w:r>
          </w:p>
        </w:tc>
        <w:tc>
          <w:tcPr>
            <w:tcW w:w="676" w:type="pct"/>
            <w:vAlign w:val="center"/>
          </w:tcPr>
          <w:p>
            <w:pPr>
              <w:widowControl/>
              <w:spacing w:line="360" w:lineRule="auto"/>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000000"/>
                <w:sz w:val="24"/>
              </w:rPr>
            </w:pPr>
            <w:r>
              <w:rPr>
                <w:rFonts w:hint="eastAsia" w:ascii="宋体" w:hAnsi="宋体"/>
                <w:b/>
                <w:szCs w:val="21"/>
              </w:rPr>
              <w:t>二</w:t>
            </w:r>
          </w:p>
        </w:tc>
        <w:tc>
          <w:tcPr>
            <w:tcW w:w="3621" w:type="pct"/>
            <w:vAlign w:val="center"/>
          </w:tcPr>
          <w:p>
            <w:pPr>
              <w:pStyle w:val="20"/>
              <w:ind w:firstLine="0" w:firstLineChars="0"/>
              <w:jc w:val="left"/>
              <w:rPr>
                <w:color w:val="000000"/>
                <w:sz w:val="24"/>
              </w:rPr>
            </w:pPr>
            <w:r>
              <w:rPr>
                <w:rFonts w:hint="eastAsia" w:ascii="宋体" w:hAnsi="宋体"/>
                <w:b/>
                <w:szCs w:val="21"/>
              </w:rPr>
              <w:t>配置</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FF0000"/>
                <w:sz w:val="24"/>
              </w:rPr>
            </w:pPr>
            <w:r>
              <w:rPr>
                <w:rFonts w:hint="eastAsia" w:ascii="宋体" w:hAnsi="宋体"/>
                <w:bCs/>
                <w:szCs w:val="21"/>
              </w:rPr>
              <w:t>1、</w:t>
            </w:r>
          </w:p>
        </w:tc>
        <w:tc>
          <w:tcPr>
            <w:tcW w:w="3621" w:type="pct"/>
            <w:vAlign w:val="center"/>
          </w:tcPr>
          <w:p>
            <w:pPr>
              <w:pStyle w:val="20"/>
              <w:ind w:firstLine="0" w:firstLineChars="0"/>
              <w:jc w:val="left"/>
              <w:rPr>
                <w:color w:val="FF0000"/>
                <w:sz w:val="24"/>
              </w:rPr>
            </w:pPr>
            <w:r>
              <w:rPr>
                <w:rFonts w:hint="eastAsia" w:ascii="宋体" w:hAnsi="宋体"/>
                <w:bCs/>
                <w:color w:val="FF0000"/>
                <w:szCs w:val="21"/>
              </w:rPr>
              <w:t>数量：1套</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color w:val="FF0000"/>
                <w:sz w:val="24"/>
              </w:rPr>
            </w:pPr>
            <w:r>
              <w:rPr>
                <w:rFonts w:hint="eastAsia" w:ascii="宋体" w:hAnsi="宋体"/>
                <w:bCs/>
                <w:szCs w:val="21"/>
              </w:rPr>
              <w:t>2、</w:t>
            </w:r>
          </w:p>
        </w:tc>
        <w:tc>
          <w:tcPr>
            <w:tcW w:w="3621" w:type="pct"/>
          </w:tcPr>
          <w:p>
            <w:pPr>
              <w:pStyle w:val="20"/>
              <w:ind w:firstLine="0" w:firstLineChars="0"/>
              <w:jc w:val="left"/>
              <w:rPr>
                <w:rFonts w:hint="eastAsia"/>
                <w:color w:val="FF0000"/>
                <w:sz w:val="24"/>
              </w:rPr>
            </w:pPr>
            <w:r>
              <w:rPr>
                <w:rFonts w:hint="eastAsia" w:cs="宋体" w:asciiTheme="minorEastAsia" w:hAnsiTheme="minorEastAsia" w:eastAsiaTheme="minorEastAsia"/>
                <w:sz w:val="24"/>
                <w:szCs w:val="24"/>
              </w:rPr>
              <w:t>主机1台</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3</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大手轮1个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4</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刀架及底座1套</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5</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包埋框标本夹头1个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6</w:t>
            </w:r>
          </w:p>
        </w:tc>
        <w:tc>
          <w:tcPr>
            <w:tcW w:w="3621" w:type="pct"/>
          </w:tcPr>
          <w:p>
            <w:pPr>
              <w:pStyle w:val="20"/>
              <w:ind w:firstLine="0" w:firstLineChars="0"/>
              <w:jc w:val="left"/>
              <w:rPr>
                <w:rFonts w:hint="eastAsia" w:ascii="宋体" w:hAnsi="宋体"/>
                <w:bCs/>
                <w:color w:val="FF0000"/>
                <w:szCs w:val="21"/>
              </w:rPr>
            </w:pPr>
            <w:r>
              <w:rPr>
                <w:rFonts w:hint="eastAsia" w:cs="宋体" w:asciiTheme="minorEastAsia" w:hAnsiTheme="minorEastAsia" w:eastAsiaTheme="minorEastAsia"/>
                <w:sz w:val="24"/>
                <w:szCs w:val="24"/>
              </w:rPr>
              <w:t>废屑盘1个</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7</w:t>
            </w:r>
          </w:p>
        </w:tc>
        <w:tc>
          <w:tcPr>
            <w:tcW w:w="3621" w:type="pct"/>
            <w:vAlign w:val="center"/>
          </w:tcPr>
          <w:p>
            <w:pPr>
              <w:pStyle w:val="20"/>
              <w:ind w:firstLine="0" w:firstLineChars="0"/>
              <w:jc w:val="left"/>
              <w:rPr>
                <w:rFonts w:hint="eastAsia" w:ascii="宋体" w:hAnsi="宋体"/>
                <w:bCs/>
                <w:color w:val="FF0000"/>
                <w:szCs w:val="21"/>
              </w:rPr>
            </w:pPr>
            <w:r>
              <w:rPr>
                <w:rFonts w:hint="eastAsia" w:ascii="宋体" w:hAnsi="宋体"/>
                <w:bCs/>
                <w:color w:val="FF0000"/>
                <w:szCs w:val="21"/>
              </w:rPr>
              <w:t>其他必要附件</w:t>
            </w:r>
          </w:p>
        </w:tc>
        <w:tc>
          <w:tcPr>
            <w:tcW w:w="676" w:type="pct"/>
            <w:vAlign w:val="center"/>
          </w:tcPr>
          <w:p>
            <w:pPr>
              <w:pStyle w:val="20"/>
              <w:ind w:firstLine="0" w:firstLineChars="0"/>
              <w:jc w:val="left"/>
              <w:rPr>
                <w:rStyle w:val="25"/>
                <w:rFonts w:ascii="Times New Roman" w:hAnsi="Times New Roman"/>
                <w:sz w:val="24"/>
                <w:szCs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color w:val="000000"/>
                <w:kern w:val="0"/>
                <w:sz w:val="24"/>
                <w:szCs w:val="24"/>
                <w:lang w:bidi="ar"/>
              </w:rPr>
            </w:pPr>
            <w:r>
              <w:rPr>
                <w:rFonts w:hint="eastAsia" w:ascii="宋体" w:hAnsi="宋体"/>
                <w:bCs/>
                <w:szCs w:val="21"/>
              </w:rPr>
              <w:t>三</w:t>
            </w:r>
          </w:p>
        </w:tc>
        <w:tc>
          <w:tcPr>
            <w:tcW w:w="3621" w:type="pct"/>
            <w:vAlign w:val="center"/>
          </w:tcPr>
          <w:p>
            <w:pPr>
              <w:pStyle w:val="20"/>
              <w:ind w:firstLine="0" w:firstLineChars="0"/>
              <w:jc w:val="left"/>
              <w:rPr>
                <w:rFonts w:hint="eastAsia" w:ascii="宋体" w:hAnsi="宋体" w:cs="宋体"/>
                <w:color w:val="000000"/>
                <w:kern w:val="0"/>
                <w:sz w:val="24"/>
                <w:szCs w:val="24"/>
                <w:lang w:bidi="ar"/>
              </w:rPr>
            </w:pPr>
            <w:r>
              <w:rPr>
                <w:rFonts w:hint="eastAsia" w:ascii="宋体" w:hAnsi="宋体"/>
                <w:bCs/>
                <w:szCs w:val="21"/>
              </w:rPr>
              <w:t>其他</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投标产品验收合格后保修≥</w:t>
            </w:r>
            <w:r>
              <w:rPr>
                <w:rFonts w:hint="eastAsia" w:ascii="宋体" w:hAnsi="宋体"/>
                <w:bCs/>
                <w:color w:val="FF0000"/>
                <w:szCs w:val="21"/>
              </w:rPr>
              <w:t>5年</w:t>
            </w:r>
            <w:r>
              <w:rPr>
                <w:rFonts w:hint="eastAsia" w:ascii="宋体" w:hAnsi="宋体"/>
                <w:bCs/>
                <w:szCs w:val="21"/>
              </w:rPr>
              <w:t>，投标时提供制造商原厂保修证明。整机终生免费提供软件功能升级服务，并及时提供设备新功能和临床应用的资料。零配件在该设备停产后仍需保证10年的供应。。</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2</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报出保后每套设备的年保修价格（允许非连保），不含在投标总价中，今后医院购买保修，制造商承诺不得高于此价格。</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3</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合同签订后45天内到货，货物必须是距投标日10个月内生产。</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4</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投标产品使用寿命≥</w:t>
            </w:r>
            <w:r>
              <w:rPr>
                <w:rFonts w:hint="eastAsia" w:ascii="宋体" w:hAnsi="宋体"/>
                <w:bCs/>
                <w:color w:val="FF0000"/>
                <w:szCs w:val="21"/>
              </w:rPr>
              <w:t>5年</w:t>
            </w:r>
            <w:r>
              <w:rPr>
                <w:rFonts w:hint="eastAsia" w:ascii="宋体" w:hAnsi="宋体"/>
                <w:bCs/>
                <w:szCs w:val="21"/>
              </w:rPr>
              <w:t>，投标时须提供证明材料（依据注册证或说明书或产品铭牌照片）</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5</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保修期内，除一次性耗材，易耗品外其他维修部件全部免费提供，投标时列明一次性耗材、易耗品清单及价格，未列明的视为免费提供。</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6</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7</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bCs/>
                <w:szCs w:val="21"/>
              </w:rPr>
            </w:pPr>
            <w:r>
              <w:rPr>
                <w:rFonts w:hint="eastAsia" w:ascii="宋体" w:hAnsi="宋体"/>
                <w:bCs/>
                <w:szCs w:val="21"/>
              </w:rPr>
              <w:t>8</w:t>
            </w:r>
          </w:p>
          <w:p>
            <w:pPr>
              <w:pStyle w:val="20"/>
              <w:ind w:firstLine="0" w:firstLineChars="0"/>
              <w:jc w:val="left"/>
              <w:rPr>
                <w:rFonts w:hint="eastAsia" w:ascii="宋体" w:hAnsi="宋体" w:cs="宋体"/>
                <w:sz w:val="24"/>
                <w:szCs w:val="24"/>
              </w:rPr>
            </w:pP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质保期内每年每套设备故障率均不得超过14天，每超过一天该设备质保期相应延长10天。</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9</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提供原厂DATASHEET</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10</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设备安装、调试</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10.1</w:t>
            </w:r>
          </w:p>
        </w:tc>
        <w:tc>
          <w:tcPr>
            <w:tcW w:w="3621" w:type="pct"/>
            <w:vAlign w:val="center"/>
          </w:tcPr>
          <w:p>
            <w:pPr>
              <w:pStyle w:val="20"/>
              <w:ind w:firstLine="0" w:firstLineChars="0"/>
              <w:jc w:val="left"/>
              <w:rPr>
                <w:rFonts w:hint="eastAsia" w:ascii="宋体" w:hAnsi="宋体" w:cs="宋体"/>
                <w:b/>
                <w:sz w:val="24"/>
                <w:szCs w:val="24"/>
              </w:rPr>
            </w:pPr>
            <w:r>
              <w:rPr>
                <w:rFonts w:hint="eastAsia" w:ascii="宋体" w:hAnsi="宋体"/>
                <w:bCs/>
                <w:szCs w:val="21"/>
              </w:rPr>
              <w:t>安装地点：采购单位指定位置。</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10.2</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安装完成时间：投标方应在投标文件中明确正常完成安装调试的时间期限，并提供超出期限情况下投标方对因此给买方造成损失的赔偿计划。</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10.3</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安装标准：符合中华人民共和国国家有关技术规范要求和技术标准。所有的软件和硬件必须保证同时安装到位。</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10.4</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安装费用：安装过程中发生的费用（含检测、耗材等）由卖方负责。投标方应在投标文件中提供其安装调试计划和对安装场地和环境的要求。</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10.5</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安装人员：应由中标方有三台以上（含）同类型设备安装经验的原厂工程师负责安装。</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11</w:t>
            </w:r>
          </w:p>
        </w:tc>
        <w:tc>
          <w:tcPr>
            <w:tcW w:w="3621" w:type="pct"/>
            <w:vAlign w:val="center"/>
          </w:tcPr>
          <w:p>
            <w:pPr>
              <w:pStyle w:val="20"/>
              <w:ind w:firstLine="0" w:firstLineChars="0"/>
              <w:jc w:val="left"/>
              <w:rPr>
                <w:rFonts w:hint="eastAsia" w:ascii="宋体" w:hAnsi="宋体" w:cs="宋体"/>
                <w:sz w:val="24"/>
                <w:szCs w:val="24"/>
              </w:rPr>
            </w:pPr>
            <w:r>
              <w:rPr>
                <w:rFonts w:hint="eastAsia" w:ascii="宋体" w:hAnsi="宋体"/>
                <w:bCs/>
                <w:szCs w:val="21"/>
              </w:rPr>
              <w:t>培训</w:t>
            </w:r>
          </w:p>
        </w:tc>
        <w:tc>
          <w:tcPr>
            <w:tcW w:w="676" w:type="pct"/>
            <w:vAlign w:val="center"/>
          </w:tcPr>
          <w:p>
            <w:pPr>
              <w:pStyle w:val="20"/>
              <w:ind w:firstLine="0" w:firstLineChars="0"/>
              <w:jc w:val="left"/>
              <w:rPr>
                <w:rFonts w:hint="eastAsia"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11.1</w:t>
            </w:r>
          </w:p>
        </w:tc>
        <w:tc>
          <w:tcPr>
            <w:tcW w:w="3621" w:type="pct"/>
            <w:vAlign w:val="center"/>
          </w:tcPr>
          <w:p>
            <w:pPr>
              <w:pStyle w:val="20"/>
              <w:ind w:firstLine="0" w:firstLineChars="0"/>
              <w:jc w:val="left"/>
              <w:rPr>
                <w:sz w:val="24"/>
              </w:rPr>
            </w:pPr>
            <w:r>
              <w:rPr>
                <w:rFonts w:hint="eastAsia" w:ascii="宋体" w:hAnsi="宋体"/>
                <w:bCs/>
                <w:szCs w:val="21"/>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11.2</w:t>
            </w:r>
          </w:p>
        </w:tc>
        <w:tc>
          <w:tcPr>
            <w:tcW w:w="3621" w:type="pct"/>
            <w:vAlign w:val="center"/>
          </w:tcPr>
          <w:p>
            <w:pPr>
              <w:pStyle w:val="20"/>
              <w:ind w:firstLine="0" w:firstLineChars="0"/>
              <w:jc w:val="left"/>
              <w:rPr>
                <w:sz w:val="24"/>
              </w:rPr>
            </w:pPr>
            <w:r>
              <w:rPr>
                <w:rFonts w:hint="eastAsia" w:ascii="宋体" w:hAnsi="宋体"/>
                <w:bCs/>
                <w:szCs w:val="21"/>
              </w:rPr>
              <w:t>中标方应对买方的操作人员进行培训并承担所有费用。</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11.3</w:t>
            </w:r>
          </w:p>
        </w:tc>
        <w:tc>
          <w:tcPr>
            <w:tcW w:w="3621" w:type="pct"/>
            <w:vAlign w:val="center"/>
          </w:tcPr>
          <w:p>
            <w:pPr>
              <w:pStyle w:val="20"/>
              <w:ind w:firstLine="0" w:firstLineChars="0"/>
              <w:jc w:val="left"/>
              <w:rPr>
                <w:sz w:val="24"/>
              </w:rPr>
            </w:pPr>
            <w:r>
              <w:rPr>
                <w:rFonts w:hint="eastAsia" w:ascii="宋体" w:hAnsi="宋体"/>
                <w:bCs/>
                <w:szCs w:val="21"/>
              </w:rPr>
              <w:t>培训完成后，中标方须提供详细培训记录，培训记录应有培训内容、参加人员（签字）、培训地点、培训时间以及操作人员考核情况。</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w:t>
            </w:r>
          </w:p>
        </w:tc>
        <w:tc>
          <w:tcPr>
            <w:tcW w:w="3621" w:type="pct"/>
            <w:vAlign w:val="center"/>
          </w:tcPr>
          <w:p>
            <w:pPr>
              <w:pStyle w:val="20"/>
              <w:ind w:firstLine="0" w:firstLineChars="0"/>
              <w:jc w:val="left"/>
              <w:rPr>
                <w:sz w:val="24"/>
              </w:rPr>
            </w:pPr>
            <w:r>
              <w:rPr>
                <w:rFonts w:hint="eastAsia" w:ascii="宋体" w:hAnsi="宋体"/>
                <w:bCs/>
                <w:szCs w:val="21"/>
              </w:rPr>
              <w:t>验收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12.1</w:t>
            </w:r>
          </w:p>
        </w:tc>
        <w:tc>
          <w:tcPr>
            <w:tcW w:w="3621" w:type="pct"/>
            <w:vAlign w:val="center"/>
          </w:tcPr>
          <w:p>
            <w:pPr>
              <w:pStyle w:val="20"/>
              <w:ind w:firstLine="0" w:firstLineChars="0"/>
              <w:jc w:val="left"/>
              <w:rPr>
                <w:sz w:val="24"/>
              </w:rPr>
            </w:pPr>
            <w:r>
              <w:rPr>
                <w:rFonts w:hint="eastAsia" w:ascii="宋体" w:hAnsi="宋体"/>
                <w:bCs/>
                <w:szCs w:val="21"/>
              </w:rPr>
              <w:t>投标方在投标时应提供设备的验收标准、安装技术规范，供买方参考。</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12.2</w:t>
            </w:r>
          </w:p>
        </w:tc>
        <w:tc>
          <w:tcPr>
            <w:tcW w:w="3621" w:type="pct"/>
            <w:vAlign w:val="center"/>
          </w:tcPr>
          <w:p>
            <w:pPr>
              <w:pStyle w:val="20"/>
              <w:ind w:firstLine="0" w:firstLineChars="0"/>
              <w:jc w:val="left"/>
              <w:rPr>
                <w:sz w:val="24"/>
              </w:rPr>
            </w:pPr>
            <w:r>
              <w:rPr>
                <w:rFonts w:hint="eastAsia" w:ascii="宋体" w:hAnsi="宋体"/>
                <w:bCs/>
                <w:szCs w:val="21"/>
              </w:rPr>
              <w:t>验收依据：按投标文件、招标文件及国家标准验收。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12.3</w:t>
            </w:r>
          </w:p>
        </w:tc>
        <w:tc>
          <w:tcPr>
            <w:tcW w:w="3621" w:type="pct"/>
            <w:vAlign w:val="center"/>
          </w:tcPr>
          <w:p>
            <w:pPr>
              <w:pStyle w:val="20"/>
              <w:ind w:firstLine="0" w:firstLineChars="0"/>
              <w:jc w:val="left"/>
              <w:rPr>
                <w:rFonts w:hint="eastAsia" w:ascii="宋体" w:hAnsi="宋体"/>
                <w:bCs/>
                <w:szCs w:val="21"/>
              </w:rPr>
            </w:pPr>
            <w:r>
              <w:rPr>
                <w:rFonts w:hint="eastAsia" w:ascii="宋体" w:hAnsi="宋体"/>
                <w:bCs/>
                <w:szCs w:val="21"/>
              </w:rPr>
              <w:t>验收时，投标人提供下列资料：</w:t>
            </w:r>
          </w:p>
          <w:p>
            <w:pPr>
              <w:pStyle w:val="20"/>
              <w:ind w:firstLine="0" w:firstLineChars="0"/>
              <w:jc w:val="left"/>
              <w:rPr>
                <w:sz w:val="24"/>
              </w:rPr>
            </w:pPr>
            <w:r>
              <w:rPr>
                <w:rFonts w:hint="eastAsia" w:ascii="宋体" w:hAnsi="宋体"/>
                <w:bCs/>
                <w:szCs w:val="21"/>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12.4</w:t>
            </w:r>
          </w:p>
        </w:tc>
        <w:tc>
          <w:tcPr>
            <w:tcW w:w="3621" w:type="pct"/>
            <w:vAlign w:val="center"/>
          </w:tcPr>
          <w:p>
            <w:pPr>
              <w:pStyle w:val="20"/>
              <w:ind w:firstLine="0" w:firstLineChars="0"/>
              <w:jc w:val="left"/>
              <w:rPr>
                <w:sz w:val="24"/>
              </w:rPr>
            </w:pPr>
            <w:r>
              <w:rPr>
                <w:rFonts w:hint="eastAsia" w:ascii="宋体" w:hAnsi="宋体"/>
                <w:bCs/>
                <w:szCs w:val="21"/>
              </w:rPr>
              <w:t>设备到达最终用户后，要求卖方及安装人员会同买方共同参与设备验收。设备安装调试后，卖方负责安装质量，并经验收合格后，买卖双方共同签署设备验收合格证书。</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12.5</w:t>
            </w:r>
          </w:p>
        </w:tc>
        <w:tc>
          <w:tcPr>
            <w:tcW w:w="3621" w:type="pct"/>
            <w:vAlign w:val="center"/>
          </w:tcPr>
          <w:p>
            <w:pPr>
              <w:pStyle w:val="20"/>
              <w:ind w:firstLine="0" w:firstLineChars="0"/>
              <w:jc w:val="left"/>
              <w:rPr>
                <w:sz w:val="24"/>
              </w:rPr>
            </w:pPr>
            <w:r>
              <w:rPr>
                <w:rFonts w:hint="eastAsia" w:ascii="宋体" w:hAnsi="宋体"/>
                <w:bCs/>
                <w:szCs w:val="21"/>
              </w:rPr>
              <w:t>验收过程中发现货物性能或功能达不到要求，卖方必须更换有关部件，使货物最终达到规定的性能指标和功能要求，但必须在发现问题后15个工作日内完成。</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12.6</w:t>
            </w:r>
          </w:p>
        </w:tc>
        <w:tc>
          <w:tcPr>
            <w:tcW w:w="3621" w:type="pct"/>
            <w:vAlign w:val="center"/>
          </w:tcPr>
          <w:p>
            <w:pPr>
              <w:pStyle w:val="20"/>
              <w:ind w:firstLine="0" w:firstLineChars="0"/>
              <w:jc w:val="left"/>
              <w:rPr>
                <w:sz w:val="24"/>
              </w:rPr>
            </w:pPr>
            <w:r>
              <w:rPr>
                <w:rFonts w:hint="eastAsia" w:ascii="宋体" w:hAnsi="宋体"/>
                <w:bCs/>
                <w:szCs w:val="21"/>
              </w:rPr>
              <w:t>所有验收相关费用由产品中标方负担</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w:t>
            </w:r>
          </w:p>
        </w:tc>
        <w:tc>
          <w:tcPr>
            <w:tcW w:w="3621" w:type="pct"/>
            <w:vAlign w:val="center"/>
          </w:tcPr>
          <w:p>
            <w:pPr>
              <w:pStyle w:val="20"/>
              <w:ind w:firstLine="0" w:firstLineChars="0"/>
              <w:jc w:val="left"/>
              <w:rPr>
                <w:sz w:val="24"/>
              </w:rPr>
            </w:pPr>
            <w:r>
              <w:rPr>
                <w:rFonts w:hint="eastAsia" w:ascii="宋体" w:hAnsi="宋体"/>
                <w:bCs/>
                <w:szCs w:val="21"/>
              </w:rPr>
              <w:t>付款方式和条件</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13.1</w:t>
            </w:r>
          </w:p>
        </w:tc>
        <w:tc>
          <w:tcPr>
            <w:tcW w:w="3621" w:type="pct"/>
            <w:vAlign w:val="center"/>
          </w:tcPr>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一次性支付：</w:t>
            </w:r>
          </w:p>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本合同项下的全部货物安装调试完毕并经最终验收合格后收到中标商发票后的，采购单位按以下第 （2） 种方式一次性支付中标商全部合同价款。</w:t>
            </w:r>
          </w:p>
          <w:p>
            <w:pPr>
              <w:pStyle w:val="20"/>
              <w:ind w:left="0" w:leftChars="0" w:firstLine="0" w:firstLineChars="0"/>
              <w:jc w:val="left"/>
              <w:rPr>
                <w:rFonts w:hint="eastAsia" w:ascii="宋体" w:hAnsi="宋体"/>
                <w:bCs/>
                <w:color w:val="FF0000"/>
                <w:szCs w:val="21"/>
                <w:lang w:val="zh-CN"/>
              </w:rPr>
            </w:pPr>
            <w:r>
              <w:rPr>
                <w:rFonts w:hint="eastAsia" w:ascii="宋体" w:hAnsi="宋体"/>
                <w:bCs/>
                <w:color w:val="FF0000"/>
                <w:szCs w:val="21"/>
                <w:lang w:val="zh-CN"/>
              </w:rPr>
              <w:t>（1）政府采购项目7个工作日内；</w:t>
            </w:r>
          </w:p>
          <w:p>
            <w:pPr>
              <w:pStyle w:val="20"/>
              <w:ind w:left="0" w:leftChars="0" w:firstLine="0" w:firstLineChars="0"/>
              <w:jc w:val="left"/>
              <w:rPr>
                <w:sz w:val="24"/>
              </w:rPr>
            </w:pPr>
            <w:r>
              <w:rPr>
                <w:rFonts w:hint="eastAsia" w:ascii="宋体" w:hAnsi="宋体"/>
                <w:bCs/>
                <w:color w:val="FF0000"/>
                <w:szCs w:val="21"/>
                <w:lang w:val="zh-CN"/>
              </w:rPr>
              <w:t>（2）非政府采购项目3个月内。</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13.2</w:t>
            </w:r>
          </w:p>
        </w:tc>
        <w:tc>
          <w:tcPr>
            <w:tcW w:w="3621" w:type="pct"/>
            <w:vAlign w:val="center"/>
          </w:tcPr>
          <w:p>
            <w:pPr>
              <w:pStyle w:val="20"/>
              <w:ind w:firstLine="0" w:firstLineChars="0"/>
              <w:jc w:val="left"/>
              <w:rPr>
                <w:sz w:val="24"/>
              </w:rPr>
            </w:pPr>
            <w:r>
              <w:rPr>
                <w:rFonts w:hint="eastAsia" w:ascii="宋体" w:hAnsi="宋体"/>
                <w:bCs/>
                <w:szCs w:val="21"/>
              </w:rPr>
              <w:t>投标商按合同开具多张发票的，额度应大于等于投标单台设备价格，且发票号需连续不中断。</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14</w:t>
            </w:r>
          </w:p>
        </w:tc>
        <w:tc>
          <w:tcPr>
            <w:tcW w:w="3621" w:type="pct"/>
            <w:vAlign w:val="center"/>
          </w:tcPr>
          <w:p>
            <w:pPr>
              <w:pStyle w:val="20"/>
              <w:ind w:firstLine="0" w:firstLineChars="0"/>
              <w:jc w:val="left"/>
              <w:rPr>
                <w:sz w:val="24"/>
              </w:rPr>
            </w:pPr>
            <w:r>
              <w:rPr>
                <w:rFonts w:hint="eastAsia" w:ascii="新宋体" w:hAnsi="新宋体" w:eastAsia="新宋体" w:cs="新宋体"/>
                <w:b w:val="0"/>
                <w:bCs/>
                <w:sz w:val="22"/>
                <w:szCs w:val="22"/>
                <w:highlight w:val="none"/>
              </w:rPr>
              <w:t>延期交货罚款：</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逾期交付货物的，</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应按合同总额每日千分之六向</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支付违约金，由</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从待付货款中扣除。逾期超过约定日期10个工作日不能交货的，</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可解除本合同。</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因逾期交货或因其他违约行为导致</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解除合同的，</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应向</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支付合同总值 5% 的违约金，如造成</w:t>
            </w:r>
            <w:r>
              <w:rPr>
                <w:rFonts w:hint="eastAsia"/>
                <w:color w:val="000000" w:themeColor="text1"/>
                <w:sz w:val="22"/>
                <w:szCs w:val="22"/>
                <w:highlight w:val="none"/>
                <w:lang w:val="en-US" w:eastAsia="zh-CN"/>
                <w14:textFill>
                  <w14:solidFill>
                    <w14:schemeClr w14:val="tx1"/>
                  </w14:solidFill>
                </w14:textFill>
              </w:rPr>
              <w:t>采购单位</w:t>
            </w:r>
            <w:r>
              <w:rPr>
                <w:rFonts w:hint="eastAsia" w:ascii="新宋体" w:hAnsi="新宋体" w:eastAsia="新宋体" w:cs="新宋体"/>
                <w:bCs/>
                <w:szCs w:val="22"/>
                <w:highlight w:val="none"/>
              </w:rPr>
              <w:t>损失超过违约金的，超出部分由</w:t>
            </w:r>
            <w:r>
              <w:rPr>
                <w:rFonts w:hint="eastAsia"/>
                <w:color w:val="000000" w:themeColor="text1"/>
                <w:sz w:val="22"/>
                <w:szCs w:val="22"/>
                <w:highlight w:val="none"/>
                <w:lang w:eastAsia="zh-CN"/>
                <w14:textFill>
                  <w14:solidFill>
                    <w14:schemeClr w14:val="tx1"/>
                  </w14:solidFill>
                </w14:textFill>
              </w:rPr>
              <w:t>中标商</w:t>
            </w:r>
            <w:r>
              <w:rPr>
                <w:rFonts w:hint="eastAsia" w:ascii="新宋体" w:hAnsi="新宋体" w:eastAsia="新宋体" w:cs="新宋体"/>
                <w:bCs/>
                <w:szCs w:val="22"/>
                <w:highlight w:val="none"/>
              </w:rPr>
              <w:t>继续承担赔偿责任。</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15</w:t>
            </w:r>
          </w:p>
        </w:tc>
        <w:tc>
          <w:tcPr>
            <w:tcW w:w="3621" w:type="pct"/>
            <w:vAlign w:val="center"/>
          </w:tcPr>
          <w:p>
            <w:pPr>
              <w:pStyle w:val="20"/>
              <w:ind w:firstLine="0" w:firstLineChars="0"/>
              <w:jc w:val="left"/>
              <w:rPr>
                <w:sz w:val="24"/>
              </w:rPr>
            </w:pPr>
            <w:r>
              <w:rPr>
                <w:rFonts w:hint="eastAsia" w:ascii="宋体" w:hAnsi="宋体"/>
                <w:bCs/>
                <w:szCs w:val="21"/>
              </w:rPr>
              <w:t>保密：招投标及合同中凡涉及买方项目的有关信息，不得透露给第三方。</w:t>
            </w:r>
          </w:p>
        </w:tc>
        <w:tc>
          <w:tcPr>
            <w:tcW w:w="676" w:type="pct"/>
            <w:vAlign w:val="center"/>
          </w:tcPr>
          <w:p>
            <w:pPr>
              <w:pStyle w:val="20"/>
              <w:ind w:firstLine="0" w:firstLineChars="0"/>
              <w:jc w:val="left"/>
              <w:rPr>
                <w:rStyle w:val="25"/>
                <w:rFonts w:ascii="Times New Roman" w:hAnsi="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703" w:type="pct"/>
            <w:vAlign w:val="center"/>
          </w:tcPr>
          <w:p>
            <w:pPr>
              <w:pStyle w:val="20"/>
              <w:ind w:firstLine="0" w:firstLineChars="0"/>
              <w:jc w:val="left"/>
              <w:rPr>
                <w:sz w:val="24"/>
              </w:rPr>
            </w:pPr>
            <w:r>
              <w:rPr>
                <w:rFonts w:hint="eastAsia" w:ascii="宋体" w:hAnsi="宋体"/>
                <w:bCs/>
                <w:szCs w:val="21"/>
              </w:rPr>
              <w:t>16</w:t>
            </w:r>
          </w:p>
        </w:tc>
        <w:tc>
          <w:tcPr>
            <w:tcW w:w="3621" w:type="pct"/>
            <w:vAlign w:val="center"/>
          </w:tcPr>
          <w:p>
            <w:pPr>
              <w:pStyle w:val="20"/>
              <w:ind w:firstLine="0" w:firstLineChars="0"/>
              <w:jc w:val="left"/>
              <w:rPr>
                <w:sz w:val="24"/>
              </w:rPr>
            </w:pPr>
            <w:r>
              <w:rPr>
                <w:rFonts w:hint="eastAsia" w:ascii="宋体" w:hAnsi="宋体"/>
                <w:bCs/>
                <w:szCs w:val="21"/>
              </w:rPr>
              <w:t>货物购销合同签订的同时，双方须签订廉洁购销合同</w:t>
            </w:r>
          </w:p>
        </w:tc>
        <w:tc>
          <w:tcPr>
            <w:tcW w:w="676" w:type="pct"/>
            <w:vAlign w:val="center"/>
          </w:tcPr>
          <w:p>
            <w:pPr>
              <w:pStyle w:val="20"/>
              <w:ind w:firstLine="0" w:firstLineChars="0"/>
              <w:jc w:val="left"/>
              <w:rPr>
                <w:rStyle w:val="25"/>
                <w:rFonts w:ascii="Times New Roman" w:hAnsi="Times New Roman"/>
                <w:sz w:val="24"/>
                <w:szCs w:val="24"/>
              </w:rPr>
            </w:pPr>
          </w:p>
        </w:tc>
      </w:tr>
    </w:tbl>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snapToGrid w:val="0"/>
        <w:spacing w:line="360" w:lineRule="auto"/>
        <w:ind w:firstLine="470" w:firstLineChars="196"/>
        <w:jc w:val="left"/>
        <w:rPr>
          <w:rFonts w:hint="eastAsia" w:asciiTheme="minorEastAsia" w:hAnsiTheme="minorEastAsia" w:eastAsiaTheme="minorEastAsia" w:cstheme="minorEastAsia"/>
          <w:sz w:val="24"/>
          <w:szCs w:val="24"/>
        </w:rPr>
      </w:pP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Style w:val="14"/>
          <w:rFonts w:hint="eastAsia" w:asciiTheme="minorEastAsia" w:hAnsiTheme="minorEastAsia" w:eastAsiaTheme="minorEastAsia" w:cstheme="minorEastAsia"/>
          <w:b/>
          <w:bCs/>
          <w:kern w:val="2"/>
          <w:sz w:val="32"/>
          <w:szCs w:val="32"/>
          <w:lang w:val="en-US" w:eastAsia="zh-CN" w:bidi="ar-SA"/>
        </w:rPr>
      </w:pPr>
      <w:r>
        <w:rPr>
          <w:rStyle w:val="14"/>
          <w:rFonts w:hint="eastAsia" w:asciiTheme="minorEastAsia" w:hAnsiTheme="minorEastAsia" w:eastAsiaTheme="minorEastAsia" w:cstheme="minorEastAsia"/>
          <w:b/>
          <w:bCs/>
          <w:kern w:val="2"/>
          <w:sz w:val="32"/>
          <w:szCs w:val="32"/>
          <w:lang w:val="en-US" w:eastAsia="zh-CN" w:bidi="ar-SA"/>
        </w:rPr>
        <w:t>评分细则</w:t>
      </w:r>
    </w:p>
    <w:tbl>
      <w:tblPr>
        <w:tblStyle w:val="11"/>
        <w:tblpPr w:leftFromText="180" w:rightFromText="180" w:vertAnchor="text" w:horzAnchor="page" w:tblpX="1259" w:tblpY="464"/>
        <w:tblOverlap w:val="never"/>
        <w:tblW w:w="93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4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639"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评定项目</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分值</w:t>
            </w:r>
          </w:p>
        </w:tc>
        <w:tc>
          <w:tcPr>
            <w:tcW w:w="4945" w:type="dxa"/>
            <w:noWrap w:val="0"/>
            <w:vAlign w:val="center"/>
          </w:tcPr>
          <w:p>
            <w:pPr>
              <w:ind w:left="105" w:leftChars="50" w:right="10" w:rightChars="5"/>
              <w:jc w:val="center"/>
              <w:rPr>
                <w:rFonts w:hint="eastAsia" w:ascii="宋体" w:hAnsi="宋体" w:eastAsia="宋体" w:cs="宋体"/>
                <w:sz w:val="21"/>
                <w:szCs w:val="21"/>
              </w:rPr>
            </w:pPr>
            <w:r>
              <w:rPr>
                <w:rFonts w:hint="eastAsia" w:ascii="宋体" w:hAnsi="宋体" w:eastAsia="宋体" w:cs="宋体"/>
                <w:sz w:val="21"/>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35</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货物技术规格及配置、商务要求对比，一项指标负偏离扣1分，标注★的指标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评委对投标设备配套的合理性、功能实现程度进行评价：投标设备配套合理、功能实现程度高的，得3分；配套较合理、功能实现程度较高的，得2分；配套合理性一般、不能完全达到临床要求功能的，得1分。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投标机型在产品系列中属高档产品的，得3分；属中等档次产品的，得2分；属低档产品的，得1分。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包括保修价格、售后服务方案、年运行费用和消耗品或易耗品价格等综合运行成本进行评价。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保修服务</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lang w:eastAsia="zh-CN"/>
              </w:rPr>
              <w:t>设备</w:t>
            </w:r>
            <w:r>
              <w:rPr>
                <w:rFonts w:hint="eastAsia" w:ascii="宋体" w:hAnsi="宋体" w:eastAsia="宋体" w:cs="宋体"/>
                <w:sz w:val="21"/>
                <w:szCs w:val="21"/>
              </w:rPr>
              <w:t>保修期超过招标文件要求的，每增加1年加1分</w:t>
            </w:r>
            <w:r>
              <w:rPr>
                <w:rFonts w:hint="eastAsia" w:ascii="宋体" w:hAnsi="宋体" w:eastAsia="宋体" w:cs="宋体"/>
                <w:sz w:val="21"/>
                <w:szCs w:val="21"/>
                <w:lang w:val="en-US" w:eastAsia="zh-CN"/>
              </w:rPr>
              <w:t>，</w:t>
            </w:r>
            <w:r>
              <w:rPr>
                <w:rFonts w:hint="eastAsia" w:ascii="宋体" w:hAnsi="宋体" w:eastAsia="宋体" w:cs="宋体"/>
                <w:sz w:val="21"/>
                <w:szCs w:val="21"/>
              </w:rPr>
              <w:t>增加部分不足1年的不计分。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投标产品在临床上的使用情况、稳定性、故障率等总体质量性能综合评价。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945"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945"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（厂家在温州市或者浙江省内有常驻维修服务点和维修工程师得</w:t>
            </w:r>
            <w:r>
              <w:rPr>
                <w:rFonts w:hint="eastAsia" w:ascii="宋体" w:hAnsi="宋体" w:eastAsia="宋体" w:cs="宋体"/>
                <w:sz w:val="21"/>
                <w:szCs w:val="21"/>
                <w:lang w:val="en-US" w:eastAsia="zh-CN"/>
              </w:rPr>
              <w:t>1分，代理商有维修服务人员得1分，承诺接用户报修后二十四小时内维修人员能到场维修的得1分</w:t>
            </w:r>
          </w:p>
        </w:tc>
      </w:tr>
    </w:tbl>
    <w:p>
      <w:pPr>
        <w:spacing w:line="360" w:lineRule="auto"/>
        <w:ind w:firstLine="457" w:firstLineChars="196"/>
        <w:rPr>
          <w:rStyle w:val="14"/>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1、商务技术分（0-65分）</w:t>
      </w:r>
    </w:p>
    <w:p>
      <w:pPr>
        <w:spacing w:before="120" w:beforeLines="50" w:after="120" w:afterLines="50"/>
        <w:ind w:firstLine="398" w:firstLineChars="196"/>
        <w:jc w:val="both"/>
        <w:rPr>
          <w:rFonts w:hint="eastAsia" w:asciiTheme="minorEastAsia" w:hAnsiTheme="minorEastAsia" w:eastAsiaTheme="minorEastAsia" w:cstheme="minorEastAsia"/>
          <w:b/>
          <w:bCs/>
          <w:spacing w:val="-4"/>
          <w:sz w:val="21"/>
          <w:szCs w:val="21"/>
        </w:rPr>
      </w:pPr>
      <w:r>
        <w:rPr>
          <w:rFonts w:hint="eastAsia" w:asciiTheme="minorEastAsia" w:hAnsiTheme="minorEastAsia" w:eastAsiaTheme="minorEastAsia" w:cstheme="minorEastAsia"/>
          <w:b/>
          <w:spacing w:val="-4"/>
          <w:sz w:val="21"/>
          <w:szCs w:val="21"/>
        </w:rPr>
        <w:t>2、</w:t>
      </w:r>
      <w:r>
        <w:rPr>
          <w:rFonts w:hint="eastAsia" w:asciiTheme="minorEastAsia" w:hAnsiTheme="minorEastAsia" w:eastAsiaTheme="minorEastAsia" w:cstheme="minorEastAsia"/>
          <w:b/>
          <w:bCs/>
          <w:spacing w:val="-4"/>
          <w:sz w:val="21"/>
          <w:szCs w:val="21"/>
        </w:rPr>
        <w:t>价格分（0-35分）</w:t>
      </w:r>
    </w:p>
    <w:p>
      <w:pPr>
        <w:pStyle w:val="8"/>
        <w:keepNext w:val="0"/>
        <w:keepLines w:val="0"/>
        <w:widowControl/>
        <w:numPr>
          <w:ilvl w:val="0"/>
          <w:numId w:val="1"/>
        </w:numPr>
        <w:suppressLineNumbers w:val="0"/>
        <w:spacing w:before="255" w:beforeAutospacing="0" w:after="255" w:afterAutospacing="0" w:line="300" w:lineRule="atLeast"/>
        <w:ind w:left="0" w:leftChars="0" w:right="0" w:firstLine="0" w:firstLineChars="0"/>
        <w:jc w:val="both"/>
        <w:rPr>
          <w:rFonts w:hint="eastAsia" w:asciiTheme="minorEastAsia" w:hAnsiTheme="minorEastAsia" w:eastAsiaTheme="minorEastAsia" w:cstheme="minorEastAsia"/>
          <w:bCs/>
          <w:spacing w:val="-4"/>
          <w:sz w:val="21"/>
          <w:szCs w:val="21"/>
        </w:rPr>
      </w:pPr>
      <w:r>
        <w:rPr>
          <w:rFonts w:hint="eastAsia" w:asciiTheme="minorEastAsia" w:hAnsiTheme="minorEastAsia" w:eastAsiaTheme="minorEastAsia" w:cstheme="minorEastAsia"/>
          <w:bCs/>
          <w:spacing w:val="-4"/>
          <w:sz w:val="21"/>
          <w:szCs w:val="21"/>
        </w:rPr>
        <w:t>价格分采用低价优先法计算，即满足招标文件要求且投标报价最低的投标报价为评标基准价，其得分为满分35分。其他投标人的价格分按照下列公式计算：</w:t>
      </w:r>
    </w:p>
    <w:p>
      <w:pPr>
        <w:spacing w:before="120" w:beforeLines="50" w:after="120" w:afterLines="5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价格分=（评标基准价/</w:t>
      </w:r>
      <w:r>
        <w:rPr>
          <w:rFonts w:hint="eastAsia" w:asciiTheme="minorEastAsia" w:hAnsiTheme="minorEastAsia" w:eastAsiaTheme="minorEastAsia" w:cstheme="minorEastAsia"/>
          <w:bCs/>
          <w:spacing w:val="-4"/>
          <w:sz w:val="21"/>
          <w:szCs w:val="21"/>
        </w:rPr>
        <w:t>投标报价</w:t>
      </w:r>
      <w:r>
        <w:rPr>
          <w:rFonts w:hint="eastAsia" w:asciiTheme="minorEastAsia" w:hAnsiTheme="minorEastAsia" w:eastAsiaTheme="minorEastAsia" w:cstheme="minorEastAsia"/>
          <w:sz w:val="21"/>
          <w:szCs w:val="21"/>
        </w:rPr>
        <w:t>）×35%×100</w:t>
      </w:r>
    </w:p>
    <w:p>
      <w:pPr>
        <w:numPr>
          <w:ilvl w:val="0"/>
          <w:numId w:val="2"/>
        </w:numPr>
        <w:ind w:firstLine="482" w:firstLineChars="200"/>
        <w:jc w:val="left"/>
        <w:rPr>
          <w:sz w:val="24"/>
        </w:rPr>
      </w:pPr>
      <w:r>
        <w:rPr>
          <w:rFonts w:hint="eastAsia" w:asciiTheme="minorEastAsia" w:hAnsiTheme="minorEastAsia" w:eastAsiaTheme="minorEastAsia" w:cstheme="minorEastAsia"/>
          <w:b/>
          <w:bCs w:val="0"/>
          <w:sz w:val="24"/>
          <w:szCs w:val="24"/>
          <w:lang w:val="en-US" w:eastAsia="zh-CN"/>
        </w:rPr>
        <w:t>总分</w:t>
      </w:r>
      <w:r>
        <w:rPr>
          <w:rFonts w:hint="eastAsia" w:asciiTheme="minorEastAsia" w:hAnsiTheme="minorEastAsia" w:eastAsiaTheme="minorEastAsia" w:cstheme="minorEastAsia"/>
          <w:b/>
          <w:bCs w:val="0"/>
          <w:sz w:val="21"/>
          <w:szCs w:val="21"/>
          <w:lang w:val="en-US" w:eastAsia="zh-CN"/>
        </w:rPr>
        <w:t>：</w:t>
      </w:r>
      <w:r>
        <w:rPr>
          <w:rFonts w:hint="eastAsia" w:asciiTheme="minorEastAsia" w:hAnsiTheme="minorEastAsia" w:eastAsiaTheme="minorEastAsia" w:cstheme="minorEastAsia"/>
          <w:sz w:val="21"/>
          <w:szCs w:val="21"/>
        </w:rPr>
        <w:t>投标人的综合得分为以上商务技术分及价格分之和</w:t>
      </w:r>
      <w:r>
        <w:rPr>
          <w:sz w:val="21"/>
          <w:szCs w:val="21"/>
        </w:rPr>
        <w:t>。</w:t>
      </w: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widowControl w:val="0"/>
        <w:numPr>
          <w:ilvl w:val="0"/>
          <w:numId w:val="0"/>
        </w:numPr>
        <w:jc w:val="left"/>
        <w:rPr>
          <w:sz w:val="24"/>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eastAsia" w:eastAsia="宋体" w:asciiTheme="minorEastAsia" w:hAnsiTheme="minorEastAsia" w:cstheme="minorEastAsia"/>
          <w:b/>
          <w:bCs/>
          <w:kern w:val="2"/>
          <w:sz w:val="32"/>
          <w:szCs w:val="32"/>
          <w:lang w:val="en-US" w:eastAsia="zh-CN" w:bidi="ar-SA"/>
        </w:rPr>
      </w:pPr>
    </w:p>
    <w:p>
      <w:pPr>
        <w:pStyle w:val="8"/>
        <w:keepNext w:val="0"/>
        <w:keepLines w:val="0"/>
        <w:widowControl/>
        <w:numPr>
          <w:ilvl w:val="0"/>
          <w:numId w:val="0"/>
        </w:numPr>
        <w:suppressLineNumbers w:val="0"/>
        <w:spacing w:before="255" w:beforeAutospacing="0" w:after="255" w:afterAutospacing="0" w:line="300" w:lineRule="atLeast"/>
        <w:ind w:leftChars="0" w:right="0" w:rightChars="0"/>
        <w:jc w:val="both"/>
        <w:rPr>
          <w:rStyle w:val="14"/>
          <w:rFonts w:hint="default" w:eastAsia="宋体" w:asciiTheme="minorEastAsia" w:hAnsiTheme="minorEastAsia" w:cstheme="minorEastAsia"/>
          <w:b/>
          <w:bCs/>
          <w:kern w:val="2"/>
          <w:sz w:val="32"/>
          <w:szCs w:val="32"/>
          <w:lang w:val="en-US" w:eastAsia="zh-CN" w:bidi="ar-SA"/>
        </w:rPr>
      </w:pPr>
      <w:r>
        <w:rPr>
          <w:rStyle w:val="14"/>
          <w:rFonts w:hint="eastAsia" w:eastAsia="宋体" w:asciiTheme="minorEastAsia" w:hAnsiTheme="minorEastAsia" w:cstheme="minorEastAsia"/>
          <w:b/>
          <w:bCs/>
          <w:kern w:val="2"/>
          <w:sz w:val="32"/>
          <w:szCs w:val="32"/>
          <w:lang w:val="en-US" w:eastAsia="zh-CN" w:bidi="ar-SA"/>
        </w:rPr>
        <w:t>九、我院正式合同版本</w:t>
      </w:r>
    </w:p>
    <w:p>
      <w:pPr>
        <w:pStyle w:val="9"/>
        <w:rPr>
          <w:sz w:val="44"/>
        </w:rPr>
      </w:pPr>
      <w:r>
        <w:rPr>
          <w:rFonts w:hint="eastAsia"/>
          <w:sz w:val="44"/>
        </w:rPr>
        <w:t>温州市中医院医疗设备采购合同</w:t>
      </w:r>
    </w:p>
    <w:p>
      <w:pPr>
        <w:jc w:val="right"/>
        <w:rPr>
          <w:w w:val="95"/>
          <w:sz w:val="22"/>
          <w:szCs w:val="22"/>
        </w:rPr>
      </w:pPr>
      <w:r>
        <w:rPr>
          <w:rFonts w:hint="eastAsia"/>
          <w:w w:val="95"/>
        </w:rPr>
        <w:t xml:space="preserve">                                         </w:t>
      </w:r>
      <w:r>
        <w:rPr>
          <w:rFonts w:hint="eastAsia"/>
          <w:w w:val="95"/>
          <w:sz w:val="22"/>
          <w:szCs w:val="22"/>
        </w:rPr>
        <w:t xml:space="preserve"> </w:t>
      </w:r>
      <w:r>
        <w:rPr>
          <w:w w:val="95"/>
          <w:sz w:val="22"/>
          <w:szCs w:val="22"/>
        </w:rPr>
        <w:t>合同编号：</w:t>
      </w:r>
      <w:r>
        <w:rPr>
          <w:rFonts w:hint="eastAsia"/>
          <w:w w:val="95"/>
          <w:sz w:val="22"/>
          <w:szCs w:val="22"/>
        </w:rPr>
        <w:t xml:space="preserve">          </w:t>
      </w:r>
    </w:p>
    <w:p>
      <w:pPr>
        <w:spacing w:before="107" w:line="220" w:lineRule="atLeast"/>
        <w:ind w:left="105"/>
        <w:rPr>
          <w:b/>
          <w:sz w:val="22"/>
          <w:szCs w:val="22"/>
        </w:rPr>
      </w:pPr>
      <w:r>
        <w:rPr>
          <w:rFonts w:hint="eastAsia"/>
          <w:b/>
          <w:sz w:val="22"/>
          <w:szCs w:val="22"/>
        </w:rPr>
        <w:t>甲方（采购单位）：温州市中医院</w:t>
      </w:r>
    </w:p>
    <w:p>
      <w:pPr>
        <w:spacing w:before="107" w:line="220" w:lineRule="atLeast"/>
        <w:ind w:left="105"/>
        <w:rPr>
          <w:b/>
          <w:sz w:val="22"/>
          <w:szCs w:val="22"/>
        </w:rPr>
      </w:pPr>
      <w:r>
        <w:rPr>
          <w:b/>
          <w:sz w:val="22"/>
          <w:szCs w:val="22"/>
        </w:rPr>
        <w:t>乙方（供应商）：</w:t>
      </w:r>
      <w:r>
        <w:rPr>
          <w:rFonts w:hint="eastAsia"/>
          <w:b/>
          <w:sz w:val="22"/>
          <w:szCs w:val="22"/>
        </w:rPr>
        <w:t xml:space="preserve"> </w:t>
      </w:r>
    </w:p>
    <w:p>
      <w:pPr>
        <w:pStyle w:val="4"/>
        <w:spacing w:before="106"/>
        <w:ind w:left="111" w:right="209" w:firstLine="550" w:firstLineChars="250"/>
        <w:rPr>
          <w:color w:val="000000" w:themeColor="text1"/>
          <w:sz w:val="22"/>
          <w:szCs w:val="22"/>
          <w14:textFill>
            <w14:solidFill>
              <w14:schemeClr w14:val="tx1"/>
            </w14:solidFill>
          </w14:textFill>
        </w:rPr>
      </w:pPr>
      <w:r>
        <w:rPr>
          <w:sz w:val="22"/>
          <w:szCs w:val="22"/>
        </w:rPr>
        <w:t>根据《中华人民共</w:t>
      </w:r>
      <w:r>
        <w:rPr>
          <w:color w:val="000000" w:themeColor="text1"/>
          <w:sz w:val="22"/>
          <w:szCs w:val="22"/>
          <w14:textFill>
            <w14:solidFill>
              <w14:schemeClr w14:val="tx1"/>
            </w14:solidFill>
          </w14:textFill>
        </w:rPr>
        <w:t>和国政府采购法》、《中华人民共和国</w:t>
      </w:r>
      <w:r>
        <w:rPr>
          <w:rFonts w:hint="eastAsia"/>
          <w:color w:val="000000" w:themeColor="text1"/>
          <w:sz w:val="22"/>
          <w:szCs w:val="22"/>
          <w14:textFill>
            <w14:solidFill>
              <w14:schemeClr w14:val="tx1"/>
            </w14:solidFill>
          </w14:textFill>
        </w:rPr>
        <w:t>民法典</w:t>
      </w:r>
      <w:r>
        <w:rPr>
          <w:color w:val="000000" w:themeColor="text1"/>
          <w:sz w:val="22"/>
          <w:szCs w:val="22"/>
          <w14:textFill>
            <w14:solidFill>
              <w14:schemeClr w14:val="tx1"/>
            </w14:solidFill>
          </w14:textFill>
        </w:rPr>
        <w:t>》等相关法律法规，以及</w:t>
      </w:r>
      <w:r>
        <w:rPr>
          <w:rFonts w:hint="eastAsia"/>
          <w:color w:val="000000" w:themeColor="text1"/>
          <w:sz w:val="22"/>
          <w:szCs w:val="22"/>
          <w:u w:val="single"/>
          <w:lang w:val="en-US" w:eastAsia="zh-CN"/>
          <w14:textFill>
            <w14:solidFill>
              <w14:schemeClr w14:val="tx1"/>
            </w14:solidFill>
          </w14:textFill>
        </w:rPr>
        <w:t xml:space="preserve">         项</w:t>
      </w:r>
      <w:r>
        <w:rPr>
          <w:color w:val="000000" w:themeColor="text1"/>
          <w:sz w:val="22"/>
          <w:szCs w:val="22"/>
          <w14:textFill>
            <w14:solidFill>
              <w14:schemeClr w14:val="tx1"/>
            </w14:solidFill>
          </w14:textFill>
        </w:rPr>
        <w:t>目</w:t>
      </w:r>
      <w:r>
        <w:rPr>
          <w:rFonts w:hint="eastAsia"/>
          <w:color w:val="000000" w:themeColor="text1"/>
          <w:sz w:val="22"/>
          <w:szCs w:val="22"/>
          <w:u w:val="single"/>
          <w:lang w:val="en-US"/>
          <w14:textFill>
            <w14:solidFill>
              <w14:schemeClr w14:val="tx1"/>
            </w14:solidFill>
          </w14:textFill>
        </w:rPr>
        <w:t>(招标</w:t>
      </w:r>
      <w:r>
        <w:rPr>
          <w:color w:val="000000" w:themeColor="text1"/>
          <w:sz w:val="22"/>
          <w:szCs w:val="22"/>
          <w:u w:val="single"/>
          <w:lang w:val="en-US"/>
          <w14:textFill>
            <w14:solidFill>
              <w14:schemeClr w14:val="tx1"/>
            </w14:solidFill>
          </w14:textFill>
        </w:rPr>
        <w:t>编号</w:t>
      </w:r>
      <w:r>
        <w:rPr>
          <w:rFonts w:hint="eastAsia"/>
          <w:color w:val="000000" w:themeColor="text1"/>
          <w:sz w:val="22"/>
          <w:szCs w:val="22"/>
          <w:u w:val="single"/>
          <w:lang w:val="en-US" w:eastAsia="zh-CN"/>
          <w14:textFill>
            <w14:solidFill>
              <w14:schemeClr w14:val="tx1"/>
            </w14:solidFill>
          </w14:textFill>
        </w:rPr>
        <w:t xml:space="preserve">:      </w:t>
      </w:r>
      <w:r>
        <w:rPr>
          <w:rFonts w:hint="eastAsia"/>
          <w:color w:val="000000" w:themeColor="text1"/>
          <w:sz w:val="22"/>
          <w:szCs w:val="22"/>
          <w:u w:val="single"/>
          <w:lang w:val="en-US"/>
          <w14:textFill>
            <w14:solidFill>
              <w14:schemeClr w14:val="tx1"/>
            </w14:solidFill>
          </w14:textFill>
        </w:rPr>
        <w:t>)</w:t>
      </w:r>
      <w:r>
        <w:rPr>
          <w:color w:val="000000" w:themeColor="text1"/>
          <w:sz w:val="22"/>
          <w:szCs w:val="22"/>
          <w14:textFill>
            <w14:solidFill>
              <w14:schemeClr w14:val="tx1"/>
            </w14:solidFill>
          </w14:textFill>
        </w:rPr>
        <w:t>（以下简称</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项目</w:t>
      </w:r>
      <w:r>
        <w:rPr>
          <w:rFonts w:ascii="Verdana" w:hAnsi="Verdana" w:eastAsia="Verdana"/>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）招标文件、中标供应商投标文件、项目采购协议，或入围承诺书，甲乙双方经协商一致，签署本合同。</w:t>
      </w:r>
    </w:p>
    <w:p>
      <w:pPr>
        <w:pStyle w:val="3"/>
        <w:numPr>
          <w:ilvl w:val="0"/>
          <w:numId w:val="0"/>
        </w:numPr>
        <w:spacing w:before="84" w:after="13"/>
        <w:ind w:left="105"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一、</w:t>
      </w:r>
      <w:r>
        <w:rPr>
          <w:color w:val="000000" w:themeColor="text1"/>
          <w:sz w:val="22"/>
          <w:szCs w:val="22"/>
          <w14:textFill>
            <w14:solidFill>
              <w14:schemeClr w14:val="tx1"/>
            </w14:solidFill>
          </w14:textFill>
        </w:rPr>
        <w:t>货物内容及合同价格</w:t>
      </w:r>
    </w:p>
    <w:tbl>
      <w:tblPr>
        <w:tblStyle w:val="11"/>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pPr>
              <w:pStyle w:val="19"/>
              <w:spacing w:before="11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货物名称</w:t>
            </w:r>
          </w:p>
        </w:tc>
        <w:tc>
          <w:tcPr>
            <w:tcW w:w="1418" w:type="dxa"/>
            <w:vAlign w:val="center"/>
          </w:tcPr>
          <w:p>
            <w:pPr>
              <w:pStyle w:val="19"/>
              <w:spacing w:before="116"/>
              <w:ind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品牌</w:t>
            </w:r>
          </w:p>
        </w:tc>
        <w:tc>
          <w:tcPr>
            <w:tcW w:w="1559" w:type="dxa"/>
            <w:vAlign w:val="center"/>
          </w:tcPr>
          <w:p>
            <w:pPr>
              <w:pStyle w:val="19"/>
              <w:spacing w:before="116"/>
              <w:ind w:left="287" w:right="276"/>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型号规格</w:t>
            </w:r>
          </w:p>
        </w:tc>
        <w:tc>
          <w:tcPr>
            <w:tcW w:w="2126"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配置要求</w:t>
            </w:r>
          </w:p>
        </w:tc>
        <w:tc>
          <w:tcPr>
            <w:tcW w:w="993" w:type="dxa"/>
            <w:vAlign w:val="center"/>
          </w:tcPr>
          <w:p>
            <w:pPr>
              <w:pStyle w:val="19"/>
              <w:spacing w:before="116"/>
              <w:ind w:left="71" w:right="61"/>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数量</w:t>
            </w:r>
          </w:p>
        </w:tc>
        <w:tc>
          <w:tcPr>
            <w:tcW w:w="1353" w:type="dxa"/>
            <w:vAlign w:val="center"/>
          </w:tcPr>
          <w:p>
            <w:pPr>
              <w:pStyle w:val="19"/>
              <w:spacing w:before="116"/>
              <w:ind w:left="71" w:right="62"/>
              <w:jc w:val="center"/>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pPr>
              <w:pStyle w:val="19"/>
              <w:jc w:val="center"/>
              <w:rPr>
                <w:b/>
                <w:color w:val="000000" w:themeColor="text1"/>
                <w:sz w:val="22"/>
                <w:szCs w:val="22"/>
                <w:lang w:val="en-US"/>
                <w14:textFill>
                  <w14:solidFill>
                    <w14:schemeClr w14:val="tx1"/>
                  </w14:solidFill>
                </w14:textFill>
              </w:rPr>
            </w:pPr>
          </w:p>
        </w:tc>
        <w:tc>
          <w:tcPr>
            <w:tcW w:w="1418" w:type="dxa"/>
            <w:vAlign w:val="center"/>
          </w:tcPr>
          <w:p>
            <w:pPr>
              <w:pStyle w:val="19"/>
              <w:jc w:val="center"/>
              <w:rPr>
                <w:b/>
                <w:color w:val="000000" w:themeColor="text1"/>
                <w:sz w:val="22"/>
                <w:szCs w:val="22"/>
                <w:lang w:val="en-US"/>
                <w14:textFill>
                  <w14:solidFill>
                    <w14:schemeClr w14:val="tx1"/>
                  </w14:solidFill>
                </w14:textFill>
              </w:rPr>
            </w:pPr>
          </w:p>
        </w:tc>
        <w:tc>
          <w:tcPr>
            <w:tcW w:w="1559" w:type="dxa"/>
            <w:vAlign w:val="center"/>
          </w:tcPr>
          <w:p>
            <w:pPr>
              <w:pStyle w:val="19"/>
              <w:jc w:val="center"/>
              <w:rPr>
                <w:b/>
                <w:color w:val="000000" w:themeColor="text1"/>
                <w:sz w:val="22"/>
                <w:szCs w:val="22"/>
                <w:lang w:val="en-US"/>
                <w14:textFill>
                  <w14:solidFill>
                    <w14:schemeClr w14:val="tx1"/>
                  </w14:solidFill>
                </w14:textFill>
              </w:rPr>
            </w:pPr>
          </w:p>
        </w:tc>
        <w:tc>
          <w:tcPr>
            <w:tcW w:w="2126" w:type="dxa"/>
            <w:vAlign w:val="center"/>
          </w:tcPr>
          <w:p>
            <w:pPr>
              <w:pStyle w:val="19"/>
              <w:jc w:val="center"/>
              <w:rPr>
                <w:rFonts w:ascii="Verdana"/>
                <w:color w:val="000000" w:themeColor="text1"/>
                <w:sz w:val="22"/>
                <w:szCs w:val="22"/>
                <w14:textFill>
                  <w14:solidFill>
                    <w14:schemeClr w14:val="tx1"/>
                  </w14:solidFill>
                </w14:textFill>
              </w:rPr>
            </w:pPr>
          </w:p>
        </w:tc>
        <w:tc>
          <w:tcPr>
            <w:tcW w:w="993" w:type="dxa"/>
            <w:vAlign w:val="center"/>
          </w:tcPr>
          <w:p>
            <w:pPr>
              <w:pStyle w:val="19"/>
              <w:jc w:val="center"/>
              <w:rPr>
                <w:rFonts w:ascii="Verdana"/>
                <w:color w:val="000000" w:themeColor="text1"/>
                <w:sz w:val="22"/>
                <w:szCs w:val="22"/>
                <w14:textFill>
                  <w14:solidFill>
                    <w14:schemeClr w14:val="tx1"/>
                  </w14:solidFill>
                </w14:textFill>
              </w:rPr>
            </w:pPr>
          </w:p>
        </w:tc>
        <w:tc>
          <w:tcPr>
            <w:tcW w:w="1353" w:type="dxa"/>
            <w:vAlign w:val="center"/>
          </w:tcPr>
          <w:p>
            <w:pPr>
              <w:pStyle w:val="19"/>
              <w:jc w:val="center"/>
              <w:rPr>
                <w:rFonts w:ascii="Verdana"/>
                <w:color w:val="000000" w:themeColor="text1"/>
                <w:sz w:val="22"/>
                <w:szCs w:val="2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pPr>
              <w:pStyle w:val="19"/>
              <w:spacing w:before="116"/>
              <w:ind w:left="0" w:leftChars="0" w:firstLine="0" w:firstLineChars="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合同总价大写</w:t>
            </w:r>
            <w:r>
              <w:rPr>
                <w:rFonts w:hint="eastAsia"/>
                <w:color w:val="000000" w:themeColor="text1"/>
                <w:sz w:val="22"/>
                <w:szCs w:val="22"/>
                <w:lang w:val="en-US"/>
                <w14:textFill>
                  <w14:solidFill>
                    <w14:schemeClr w14:val="tx1"/>
                  </w14:solidFill>
                </w14:textFill>
              </w:rPr>
              <w:t xml:space="preserve">: </w:t>
            </w:r>
            <w:r>
              <w:rPr>
                <w:rFonts w:hint="eastAsia"/>
                <w:color w:val="000000" w:themeColor="text1"/>
                <w:sz w:val="22"/>
                <w:szCs w:val="22"/>
                <w14:textFill>
                  <w14:solidFill>
                    <w14:schemeClr w14:val="tx1"/>
                  </w14:solidFill>
                </w14:textFill>
              </w:rPr>
              <w:t xml:space="preserve">元整                           </w:t>
            </w:r>
            <w:r>
              <w:rPr>
                <w:color w:val="000000" w:themeColor="text1"/>
                <w:sz w:val="22"/>
                <w:szCs w:val="22"/>
                <w14:textFill>
                  <w14:solidFill>
                    <w14:schemeClr w14:val="tx1"/>
                  </w14:solidFill>
                </w14:textFill>
              </w:rPr>
              <w:t>小写：￥</w:t>
            </w:r>
          </w:p>
        </w:tc>
      </w:tr>
    </w:tbl>
    <w:p>
      <w:pPr>
        <w:ind w:right="1636"/>
        <w:jc w:val="right"/>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金额单位：元</w:t>
      </w:r>
    </w:p>
    <w:p>
      <w:pPr>
        <w:pStyle w:val="4"/>
        <w:spacing w:line="0" w:lineRule="atLeast"/>
        <w:ind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注：1、商品型号、数量、配置要求及使用单位地址等详见附件清单</w:t>
      </w:r>
    </w:p>
    <w:p>
      <w:pPr>
        <w:pStyle w:val="4"/>
        <w:spacing w:line="0" w:lineRule="atLeast"/>
        <w:ind w:left="105" w:right="210"/>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 xml:space="preserve">   2、以上合同总价包含货物到达</w:t>
      </w:r>
      <w:r>
        <w:rPr>
          <w:rFonts w:hint="eastAsia"/>
          <w:color w:val="000000" w:themeColor="text1"/>
          <w:sz w:val="22"/>
          <w:szCs w:val="22"/>
          <w:lang w:eastAsia="zh-CN"/>
          <w14:textFill>
            <w14:solidFill>
              <w14:schemeClr w14:val="tx1"/>
            </w14:solidFill>
          </w14:textFill>
        </w:rPr>
        <w:t>甲方</w:t>
      </w:r>
      <w:r>
        <w:rPr>
          <w:rFonts w:hint="eastAsia"/>
          <w:color w:val="000000" w:themeColor="text1"/>
          <w:sz w:val="22"/>
          <w:szCs w:val="22"/>
          <w14:textFill>
            <w14:solidFill>
              <w14:schemeClr w14:val="tx1"/>
            </w14:solidFill>
          </w14:textFill>
        </w:rPr>
        <w:t>并能正常使用所需的一切费用，包括但不限于包装费、运输费、装卸费、保险费、安装调试费、技术服务费、培训费以及保修费、税费等。</w:t>
      </w: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二、技术资料</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乙方应按招标文件规定的时间向甲方提供使用货物的有关技术资料。</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spacing w:before="8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三、知识产权</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乙方应保证所提供的货物或其任何一部分均不会侵犯任何第三方的知识产权。</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四、产权担保</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乙方保证所交付的货物的所有权完全属于乙方且无任何抵押、查封等产权瑕疵。</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五、转包或分包</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本合同范围的货物，应由乙方直接供应，不得转让他人供应，否则，甲方有权解除合同并追究乙方的违约责任。</w:t>
      </w:r>
    </w:p>
    <w:p>
      <w:pPr>
        <w:pStyle w:val="3"/>
        <w:spacing w:before="10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六、质保期</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color w:val="000000" w:themeColor="text1"/>
          <w:spacing w:val="-6"/>
          <w:sz w:val="22"/>
          <w:szCs w:val="22"/>
          <w:highlight w:val="none"/>
          <w14:textFill>
            <w14:solidFill>
              <w14:schemeClr w14:val="tx1"/>
            </w14:solidFill>
          </w14:textFill>
        </w:rPr>
        <w:t>质保期为</w:t>
      </w:r>
      <w:r>
        <w:rPr>
          <w:rFonts w:hint="eastAsia"/>
          <w:color w:val="000000" w:themeColor="text1"/>
          <w:spacing w:val="-6"/>
          <w:sz w:val="22"/>
          <w:szCs w:val="22"/>
          <w:highlight w:val="none"/>
          <w:u w:val="single"/>
          <w:lang w:val="en-US"/>
          <w14:textFill>
            <w14:solidFill>
              <w14:schemeClr w14:val="tx1"/>
            </w14:solidFill>
          </w14:textFill>
        </w:rPr>
        <w:t xml:space="preserve">    </w:t>
      </w:r>
      <w:r>
        <w:rPr>
          <w:rFonts w:hint="eastAsia"/>
          <w:color w:val="000000" w:themeColor="text1"/>
          <w:spacing w:val="-6"/>
          <w:sz w:val="22"/>
          <w:szCs w:val="22"/>
          <w:highlight w:val="none"/>
          <w:lang w:val="en-US"/>
          <w14:textFill>
            <w14:solidFill>
              <w14:schemeClr w14:val="tx1"/>
            </w14:solidFill>
          </w14:textFill>
        </w:rPr>
        <w:t>年</w:t>
      </w:r>
      <w:r>
        <w:rPr>
          <w:color w:val="000000" w:themeColor="text1"/>
          <w:sz w:val="22"/>
          <w:szCs w:val="22"/>
          <w:highlight w:val="none"/>
          <w14:textFill>
            <w14:solidFill>
              <w14:schemeClr w14:val="tx1"/>
            </w14:solidFill>
          </w14:textFill>
        </w:rPr>
        <w:t>。（自交货验收合格之日起计）</w:t>
      </w:r>
    </w:p>
    <w:p>
      <w:pPr>
        <w:pStyle w:val="3"/>
        <w:spacing w:before="0"/>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七、交货期、交货方式及交货地点</w:t>
      </w:r>
    </w:p>
    <w:p>
      <w:pPr>
        <w:pStyle w:val="20"/>
        <w:numPr>
          <w:ilvl w:val="0"/>
          <w:numId w:val="0"/>
        </w:numPr>
        <w:tabs>
          <w:tab w:val="left" w:pos="522"/>
        </w:tabs>
        <w:spacing w:before="22"/>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3"/>
          <w:sz w:val="22"/>
          <w:szCs w:val="22"/>
          <w:highlight w:val="none"/>
          <w:lang w:val="en-US" w:eastAsia="zh-CN"/>
          <w14:textFill>
            <w14:solidFill>
              <w14:schemeClr w14:val="tx1"/>
            </w14:solidFill>
          </w14:textFill>
        </w:rPr>
        <w:t>1、</w:t>
      </w:r>
      <w:r>
        <w:rPr>
          <w:color w:val="000000" w:themeColor="text1"/>
          <w:spacing w:val="-3"/>
          <w:sz w:val="22"/>
          <w:szCs w:val="22"/>
          <w:highlight w:val="none"/>
          <w14:textFill>
            <w14:solidFill>
              <w14:schemeClr w14:val="tx1"/>
            </w14:solidFill>
          </w14:textFill>
        </w:rPr>
        <w:t>交货期：合同签订后</w:t>
      </w:r>
      <w:r>
        <w:rPr>
          <w:rFonts w:hint="eastAsia"/>
          <w:color w:val="000000" w:themeColor="text1"/>
          <w:spacing w:val="-3"/>
          <w:sz w:val="22"/>
          <w:szCs w:val="22"/>
          <w:highlight w:val="none"/>
          <w:u w:val="single"/>
          <w:lang w:val="en-US" w:eastAsia="zh-CN"/>
          <w14:textFill>
            <w14:solidFill>
              <w14:schemeClr w14:val="tx1"/>
            </w14:solidFill>
          </w14:textFill>
        </w:rPr>
        <w:t xml:space="preserve">   </w:t>
      </w:r>
      <w:r>
        <w:rPr>
          <w:color w:val="000000" w:themeColor="text1"/>
          <w:sz w:val="22"/>
          <w:szCs w:val="22"/>
          <w:highlight w:val="none"/>
          <w14:textFill>
            <w14:solidFill>
              <w14:schemeClr w14:val="tx1"/>
            </w14:solidFill>
          </w14:textFill>
        </w:rPr>
        <w:t>日</w:t>
      </w:r>
      <w:r>
        <w:rPr>
          <w:rFonts w:hint="eastAsia"/>
          <w:color w:val="000000" w:themeColor="text1"/>
          <w:sz w:val="22"/>
          <w:szCs w:val="22"/>
          <w:highlight w:val="none"/>
          <w:lang w:eastAsia="zh-CN"/>
          <w14:textFill>
            <w14:solidFill>
              <w14:schemeClr w14:val="tx1"/>
            </w14:solidFill>
          </w14:textFill>
        </w:rPr>
        <w:t>内</w:t>
      </w:r>
    </w:p>
    <w:p>
      <w:pPr>
        <w:pStyle w:val="20"/>
        <w:numPr>
          <w:ilvl w:val="0"/>
          <w:numId w:val="0"/>
        </w:numPr>
        <w:tabs>
          <w:tab w:val="left" w:pos="522"/>
        </w:tabs>
        <w:ind w:left="351" w:leftChars="0"/>
        <w:rPr>
          <w:color w:val="000000" w:themeColor="text1"/>
          <w:sz w:val="22"/>
          <w:szCs w:val="22"/>
          <w:highlight w:val="none"/>
          <w14:textFill>
            <w14:solidFill>
              <w14:schemeClr w14:val="tx1"/>
            </w14:solidFill>
          </w14:textFill>
        </w:rPr>
      </w:pPr>
      <w:r>
        <w:rPr>
          <w:rFonts w:hint="eastAsia"/>
          <w:color w:val="000000" w:themeColor="text1"/>
          <w:spacing w:val="-5"/>
          <w:sz w:val="22"/>
          <w:szCs w:val="22"/>
          <w:highlight w:val="none"/>
          <w:lang w:val="en-US" w:eastAsia="zh-CN"/>
          <w14:textFill>
            <w14:solidFill>
              <w14:schemeClr w14:val="tx1"/>
            </w14:solidFill>
          </w14:textFill>
        </w:rPr>
        <w:t>2、</w:t>
      </w:r>
      <w:r>
        <w:rPr>
          <w:color w:val="000000" w:themeColor="text1"/>
          <w:spacing w:val="-5"/>
          <w:sz w:val="22"/>
          <w:szCs w:val="22"/>
          <w:highlight w:val="none"/>
          <w14:textFill>
            <w14:solidFill>
              <w14:schemeClr w14:val="tx1"/>
            </w14:solidFill>
          </w14:textFill>
        </w:rPr>
        <w:t>交货方式：</w:t>
      </w:r>
      <w:r>
        <w:rPr>
          <w:rFonts w:hint="eastAsia"/>
          <w:color w:val="000000" w:themeColor="text1"/>
          <w:spacing w:val="-5"/>
          <w:sz w:val="22"/>
          <w:szCs w:val="22"/>
          <w:highlight w:val="none"/>
          <w14:textFill>
            <w14:solidFill>
              <w14:schemeClr w14:val="tx1"/>
            </w14:solidFill>
          </w14:textFill>
        </w:rPr>
        <w:t>按甲方指定地点</w:t>
      </w:r>
      <w:r>
        <w:rPr>
          <w:color w:val="000000" w:themeColor="text1"/>
          <w:sz w:val="22"/>
          <w:szCs w:val="22"/>
          <w:highlight w:val="none"/>
          <w14:textFill>
            <w14:solidFill>
              <w14:schemeClr w14:val="tx1"/>
            </w14:solidFill>
          </w14:textFill>
        </w:rPr>
        <w:t>送货上门</w:t>
      </w:r>
    </w:p>
    <w:p>
      <w:pPr>
        <w:pStyle w:val="20"/>
        <w:numPr>
          <w:ilvl w:val="0"/>
          <w:numId w:val="0"/>
        </w:numPr>
        <w:ind w:left="351" w:leftChars="0"/>
        <w:rPr>
          <w:rFonts w:hint="eastAsia" w:eastAsia="宋体"/>
          <w:color w:val="000000" w:themeColor="text1"/>
          <w:sz w:val="22"/>
          <w:szCs w:val="22"/>
          <w:highlight w:val="none"/>
          <w:lang w:eastAsia="zh-CN"/>
          <w14:textFill>
            <w14:solidFill>
              <w14:schemeClr w14:val="tx1"/>
            </w14:solidFill>
          </w14:textFill>
        </w:rPr>
      </w:pPr>
      <w:r>
        <w:rPr>
          <w:rFonts w:hint="eastAsia"/>
          <w:color w:val="000000" w:themeColor="text1"/>
          <w:spacing w:val="-11"/>
          <w:sz w:val="22"/>
          <w:szCs w:val="22"/>
          <w:highlight w:val="none"/>
          <w:lang w:val="en-US" w:eastAsia="zh-CN"/>
          <w14:textFill>
            <w14:solidFill>
              <w14:schemeClr w14:val="tx1"/>
            </w14:solidFill>
          </w14:textFill>
        </w:rPr>
        <w:t>3、</w:t>
      </w:r>
      <w:r>
        <w:rPr>
          <w:color w:val="000000" w:themeColor="text1"/>
          <w:spacing w:val="-11"/>
          <w:sz w:val="22"/>
          <w:szCs w:val="22"/>
          <w:highlight w:val="none"/>
          <w14:textFill>
            <w14:solidFill>
              <w14:schemeClr w14:val="tx1"/>
            </w14:solidFill>
          </w14:textFill>
        </w:rPr>
        <w:t>交货地点：</w:t>
      </w:r>
      <w:r>
        <w:rPr>
          <w:rFonts w:hint="eastAsia"/>
          <w:color w:val="000000" w:themeColor="text1"/>
          <w:sz w:val="22"/>
          <w:szCs w:val="22"/>
          <w:highlight w:val="none"/>
          <w:lang w:eastAsia="zh-CN"/>
          <w14:textFill>
            <w14:solidFill>
              <w14:schemeClr w14:val="tx1"/>
            </w14:solidFill>
          </w14:textFill>
        </w:rPr>
        <w:t>甲方指定地点</w:t>
      </w:r>
    </w:p>
    <w:p>
      <w:pPr>
        <w:tabs>
          <w:tab w:val="left" w:pos="522"/>
        </w:tabs>
        <w:ind w:left="105" w:right="5480"/>
        <w:rPr>
          <w:b/>
          <w:bCs/>
          <w:color w:val="000000" w:themeColor="text1"/>
          <w:sz w:val="22"/>
          <w:szCs w:val="22"/>
          <w:highlight w:val="none"/>
          <w14:textFill>
            <w14:solidFill>
              <w14:schemeClr w14:val="tx1"/>
            </w14:solidFill>
          </w14:textFill>
        </w:rPr>
      </w:pPr>
      <w:r>
        <w:rPr>
          <w:b/>
          <w:color w:val="000000" w:themeColor="text1"/>
          <w:spacing w:val="10"/>
          <w:sz w:val="22"/>
          <w:szCs w:val="22"/>
          <w:highlight w:val="none"/>
          <w14:textFill>
            <w14:solidFill>
              <w14:schemeClr w14:val="tx1"/>
            </w14:solidFill>
          </w14:textFill>
        </w:rPr>
        <w:t>八、</w:t>
      </w:r>
      <w:r>
        <w:rPr>
          <w:rFonts w:hint="eastAsia"/>
          <w:b/>
          <w:bCs/>
          <w:color w:val="000000" w:themeColor="text1"/>
          <w:sz w:val="22"/>
          <w:szCs w:val="22"/>
          <w:highlight w:val="none"/>
          <w14:textFill>
            <w14:solidFill>
              <w14:schemeClr w14:val="tx1"/>
            </w14:solidFill>
          </w14:textFill>
        </w:rPr>
        <w:t>货款支付</w:t>
      </w:r>
    </w:p>
    <w:p>
      <w:pPr>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甲方按以下第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14:textFill>
            <w14:solidFill>
              <w14:schemeClr w14:val="tx1"/>
            </w14:solidFill>
          </w14:textFill>
        </w:rPr>
        <w:t>种方式支付乙方合同价款。</w:t>
      </w:r>
    </w:p>
    <w:p>
      <w:pPr>
        <w:pStyle w:val="4"/>
        <w:spacing w:before="21"/>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1、</w:t>
      </w:r>
      <w:r>
        <w:rPr>
          <w:color w:val="000000" w:themeColor="text1"/>
          <w:sz w:val="22"/>
          <w:szCs w:val="22"/>
          <w:highlight w:val="none"/>
          <w14:textFill>
            <w14:solidFill>
              <w14:schemeClr w14:val="tx1"/>
            </w14:solidFill>
          </w14:textFill>
        </w:rPr>
        <w:t>一次性支付：</w:t>
      </w:r>
    </w:p>
    <w:p>
      <w:pPr>
        <w:pStyle w:val="4"/>
        <w:tabs>
          <w:tab w:val="left" w:pos="4877"/>
        </w:tabs>
        <w:spacing w:before="71"/>
        <w:ind w:left="351"/>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本合同项下的全部货物安装调试完毕并经最终验收合格后</w:t>
      </w:r>
      <w:r>
        <w:rPr>
          <w:rFonts w:hint="eastAsia"/>
          <w:color w:val="000000" w:themeColor="text1"/>
          <w:sz w:val="22"/>
          <w:szCs w:val="22"/>
          <w:highlight w:val="none"/>
          <w14:textFill>
            <w14:solidFill>
              <w14:schemeClr w14:val="tx1"/>
            </w14:solidFill>
          </w14:textFill>
        </w:rPr>
        <w:t>收到乙方发票后的</w:t>
      </w:r>
      <w:r>
        <w:rPr>
          <w:rFonts w:hint="eastAsia"/>
          <w:color w:val="000000" w:themeColor="text1"/>
          <w:sz w:val="22"/>
          <w:szCs w:val="22"/>
          <w:highlight w:val="none"/>
          <w:lang w:eastAsia="zh-CN"/>
          <w14:textFill>
            <w14:solidFill>
              <w14:schemeClr w14:val="tx1"/>
            </w14:solidFill>
          </w14:textFill>
        </w:rPr>
        <w:t>，甲方</w:t>
      </w:r>
      <w:r>
        <w:rPr>
          <w:rFonts w:hint="eastAsia"/>
          <w:color w:val="000000" w:themeColor="text1"/>
          <w:sz w:val="22"/>
          <w:szCs w:val="22"/>
          <w:highlight w:val="none"/>
          <w:lang w:val="zh-CN"/>
          <w14:textFill>
            <w14:solidFill>
              <w14:schemeClr w14:val="tx1"/>
            </w14:solidFill>
          </w14:textFill>
        </w:rPr>
        <w:t>按以下第</w:t>
      </w:r>
      <w:r>
        <w:rPr>
          <w:rFonts w:hint="eastAsia"/>
          <w:color w:val="000000" w:themeColor="text1"/>
          <w:sz w:val="22"/>
          <w:szCs w:val="22"/>
          <w:highlight w:val="none"/>
          <w:u w:val="single"/>
          <w:lang w:val="en-US" w:eastAsia="zh-CN"/>
          <w14:textFill>
            <w14:solidFill>
              <w14:schemeClr w14:val="tx1"/>
            </w14:solidFill>
          </w14:textFill>
        </w:rPr>
        <w:t xml:space="preserve">   </w:t>
      </w:r>
      <w:r>
        <w:rPr>
          <w:rFonts w:hint="eastAsia"/>
          <w:color w:val="000000" w:themeColor="text1"/>
          <w:sz w:val="22"/>
          <w:szCs w:val="22"/>
          <w:highlight w:val="none"/>
          <w:lang w:val="zh-CN"/>
          <w14:textFill>
            <w14:solidFill>
              <w14:schemeClr w14:val="tx1"/>
            </w14:solidFill>
          </w14:textFill>
        </w:rPr>
        <w:t>种方式一次性支付乙方</w:t>
      </w:r>
      <w:r>
        <w:rPr>
          <w:color w:val="000000" w:themeColor="text1"/>
          <w:sz w:val="22"/>
          <w:szCs w:val="22"/>
          <w:highlight w:val="none"/>
          <w14:textFill>
            <w14:solidFill>
              <w14:schemeClr w14:val="tx1"/>
            </w14:solidFill>
          </w14:textFill>
        </w:rPr>
        <w:t>全部</w:t>
      </w:r>
      <w:r>
        <w:rPr>
          <w:rFonts w:hint="eastAsia"/>
          <w:color w:val="000000" w:themeColor="text1"/>
          <w:sz w:val="22"/>
          <w:szCs w:val="22"/>
          <w:highlight w:val="none"/>
          <w:lang w:val="zh-CN"/>
          <w14:textFill>
            <w14:solidFill>
              <w14:schemeClr w14:val="tx1"/>
            </w14:solidFill>
          </w14:textFill>
        </w:rPr>
        <w:t>合同价款</w:t>
      </w:r>
      <w:r>
        <w:rPr>
          <w:color w:val="000000" w:themeColor="text1"/>
          <w:sz w:val="22"/>
          <w:szCs w:val="22"/>
          <w:highlight w:val="none"/>
          <w14:textFill>
            <w14:solidFill>
              <w14:schemeClr w14:val="tx1"/>
            </w14:solidFill>
          </w14:textFill>
        </w:rPr>
        <w:t>。</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）政府采购项目</w:t>
      </w:r>
      <w:r>
        <w:rPr>
          <w:rFonts w:hint="eastAsia"/>
          <w:color w:val="000000" w:themeColor="text1"/>
          <w:sz w:val="22"/>
          <w:szCs w:val="22"/>
          <w:highlight w:val="none"/>
          <w:lang w:val="en-US" w:eastAsia="zh-CN"/>
          <w14:textFill>
            <w14:solidFill>
              <w14:schemeClr w14:val="tx1"/>
            </w14:solidFill>
          </w14:textFill>
        </w:rPr>
        <w:t>7个工作日内</w:t>
      </w:r>
      <w:r>
        <w:rPr>
          <w:color w:val="000000" w:themeColor="text1"/>
          <w:sz w:val="22"/>
          <w:szCs w:val="22"/>
          <w:highlight w:val="none"/>
          <w14:textFill>
            <w14:solidFill>
              <w14:schemeClr w14:val="tx1"/>
            </w14:solidFill>
          </w14:textFill>
        </w:rPr>
        <w:t>；</w:t>
      </w:r>
    </w:p>
    <w:p>
      <w:pPr>
        <w:pStyle w:val="4"/>
        <w:tabs>
          <w:tab w:val="left" w:pos="4877"/>
        </w:tabs>
        <w:spacing w:before="71"/>
        <w:ind w:left="351"/>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）非政府采购项目</w:t>
      </w:r>
      <w:r>
        <w:rPr>
          <w:rFonts w:hint="eastAsia"/>
          <w:color w:val="000000" w:themeColor="text1"/>
          <w:sz w:val="22"/>
          <w:szCs w:val="22"/>
          <w:highlight w:val="none"/>
          <w:lang w:val="en-US" w:eastAsia="zh-CN"/>
          <w14:textFill>
            <w14:solidFill>
              <w14:schemeClr w14:val="tx1"/>
            </w14:solidFill>
          </w14:textFill>
        </w:rPr>
        <w:t>3个月内</w:t>
      </w:r>
      <w:r>
        <w:rPr>
          <w:color w:val="000000" w:themeColor="text1"/>
          <w:sz w:val="22"/>
          <w:szCs w:val="22"/>
          <w:highlight w:val="none"/>
          <w14:textFill>
            <w14:solidFill>
              <w14:schemeClr w14:val="tx1"/>
            </w14:solidFill>
          </w14:textFill>
        </w:rPr>
        <w:t>。</w:t>
      </w:r>
    </w:p>
    <w:p>
      <w:pPr>
        <w:pStyle w:val="4"/>
        <w:spacing w:before="69"/>
        <w:ind w:left="351"/>
        <w:rPr>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2、</w:t>
      </w:r>
      <w:r>
        <w:rPr>
          <w:color w:val="000000" w:themeColor="text1"/>
          <w:sz w:val="22"/>
          <w:szCs w:val="22"/>
          <w:highlight w:val="none"/>
          <w14:textFill>
            <w14:solidFill>
              <w14:schemeClr w14:val="tx1"/>
            </w14:solidFill>
          </w14:textFill>
        </w:rPr>
        <w:t>分期支付：</w:t>
      </w:r>
    </w:p>
    <w:p>
      <w:pPr>
        <w:pStyle w:val="20"/>
        <w:numPr>
          <w:ilvl w:val="0"/>
          <w:numId w:val="0"/>
        </w:numPr>
        <w:tabs>
          <w:tab w:val="left" w:pos="797"/>
          <w:tab w:val="left" w:pos="2800"/>
          <w:tab w:val="left" w:pos="5814"/>
          <w:tab w:val="left" w:pos="7603"/>
          <w:tab w:val="left" w:pos="8599"/>
        </w:tabs>
        <w:spacing w:before="69"/>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1</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甲方应于本合同生效后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作为预付款，计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w:t>
      </w:r>
      <w:r>
        <w:rPr>
          <w:color w:val="000000" w:themeColor="text1"/>
          <w:sz w:val="22"/>
          <w:szCs w:val="22"/>
          <w:highlight w:val="none"/>
          <w14:textFill>
            <w14:solidFill>
              <w14:schemeClr w14:val="tx1"/>
            </w14:solidFill>
          </w14:textFill>
        </w:rPr>
        <w:t>全部货物验收合格后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个工作日内，甲方向乙方支付合同总价款的</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ascii="Verdana" w:hAnsi="Verdana" w:eastAsia="Verdana"/>
          <w:color w:val="000000" w:themeColor="text1"/>
          <w:sz w:val="22"/>
          <w:szCs w:val="22"/>
          <w:highlight w:val="none"/>
          <w14:textFill>
            <w14:solidFill>
              <w14:schemeClr w14:val="tx1"/>
            </w14:solidFill>
          </w14:textFill>
        </w:rPr>
        <w:t>%</w:t>
      </w:r>
      <w:r>
        <w:rPr>
          <w:color w:val="000000" w:themeColor="text1"/>
          <w:sz w:val="22"/>
          <w:szCs w:val="22"/>
          <w:highlight w:val="none"/>
          <w14:textFill>
            <w14:solidFill>
              <w14:schemeClr w14:val="tx1"/>
            </w14:solidFill>
          </w14:textFill>
        </w:rPr>
        <w:t>，计</w:t>
      </w:r>
      <w:r>
        <w:rPr>
          <w:rFonts w:ascii="Verdana" w:hAnsi="Verdana" w:eastAsia="Verdana"/>
          <w:color w:val="000000" w:themeColor="text1"/>
          <w:sz w:val="22"/>
          <w:szCs w:val="22"/>
          <w:highlight w:val="none"/>
          <w14:textFill>
            <w14:solidFill>
              <w14:schemeClr w14:val="tx1"/>
            </w14:solidFill>
          </w14:textFill>
        </w:rPr>
        <w:t>¥</w:t>
      </w:r>
      <w:r>
        <w:rPr>
          <w:rFonts w:ascii="Verdana" w:hAnsi="Verdana" w:eastAsia="Verdana"/>
          <w:color w:val="000000" w:themeColor="text1"/>
          <w:sz w:val="22"/>
          <w:szCs w:val="22"/>
          <w:highlight w:val="none"/>
          <w:u w:val="single" w:color="4068E0"/>
          <w14:textFill>
            <w14:solidFill>
              <w14:schemeClr w14:val="tx1"/>
            </w14:solidFill>
          </w14:textFill>
        </w:rPr>
        <w:t xml:space="preserve"> </w:t>
      </w:r>
      <w:r>
        <w:rPr>
          <w:rFonts w:hint="eastAsia" w:ascii="Verdana" w:hAnsi="Verdan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元（大写</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color w:val="000000" w:themeColor="text1"/>
          <w:sz w:val="22"/>
          <w:szCs w:val="22"/>
          <w:highlight w:val="none"/>
          <w14:textFill>
            <w14:solidFill>
              <w14:schemeClr w14:val="tx1"/>
            </w14:solidFill>
          </w14:textFill>
        </w:rPr>
        <w:t>元整）。</w:t>
      </w:r>
    </w:p>
    <w:p>
      <w:pPr>
        <w:pStyle w:val="20"/>
        <w:numPr>
          <w:ilvl w:val="0"/>
          <w:numId w:val="0"/>
        </w:numPr>
        <w:tabs>
          <w:tab w:val="left" w:pos="797"/>
          <w:tab w:val="left" w:pos="2632"/>
          <w:tab w:val="left" w:pos="6150"/>
          <w:tab w:val="left" w:pos="7098"/>
          <w:tab w:val="left" w:pos="8095"/>
        </w:tabs>
        <w:spacing w:before="118"/>
        <w:ind w:left="351" w:leftChars="0"/>
        <w:rPr>
          <w:rFonts w:hint="eastAsia" w:ascii="Times New Roman" w:hAnsi="Times New Roman" w:eastAsia="新宋体" w:cs="Times New Roman"/>
          <w:color w:val="auto"/>
          <w:sz w:val="22"/>
          <w:szCs w:val="22"/>
          <w:highlight w:val="none"/>
          <w:lang w:eastAsia="zh-CN"/>
        </w:rPr>
      </w:pPr>
      <w:r>
        <w:rPr>
          <w:rFonts w:hint="eastAsia" w:ascii="宋体" w:hAnsi="宋体" w:eastAsia="宋体" w:cs="宋体"/>
          <w:color w:val="000000" w:themeColor="text1"/>
          <w:kern w:val="0"/>
          <w:sz w:val="22"/>
          <w:szCs w:val="22"/>
          <w:lang w:val="en-US" w:eastAsia="zh-CN" w:bidi="zh-CN"/>
          <w14:textFill>
            <w14:solidFill>
              <w14:schemeClr w14:val="tx1"/>
            </w14:solidFill>
          </w14:textFill>
        </w:rPr>
        <w:t>3、</w:t>
      </w:r>
      <w:r>
        <w:rPr>
          <w:rFonts w:hint="eastAsia"/>
          <w:color w:val="000000" w:themeColor="text1"/>
          <w:sz w:val="22"/>
          <w:szCs w:val="22"/>
          <w:highlight w:val="none"/>
          <w:lang w:eastAsia="zh-CN"/>
          <w14:textFill>
            <w14:solidFill>
              <w14:schemeClr w14:val="tx1"/>
            </w14:solidFill>
          </w14:textFill>
        </w:rPr>
        <w:t>政府采购项目</w:t>
      </w:r>
      <w:r>
        <w:rPr>
          <w:rFonts w:hint="eastAsia" w:ascii="Times New Roman" w:hAnsi="Times New Roman" w:eastAsia="新宋体" w:cs="Times New Roman"/>
          <w:color w:val="auto"/>
          <w:sz w:val="22"/>
          <w:szCs w:val="22"/>
          <w:highlight w:val="none"/>
          <w:lang w:eastAsia="zh-CN"/>
        </w:rPr>
        <w:t>若乙方为中小微企业：在合同签订生效以及具备实施条件后，甲方通知乙方发货之日起7个工作日内，支付全部货款的40%作为预付款。剩余全部货款的60%在项目全部验收合格并收到乙方发票后的</w:t>
      </w:r>
      <w:r>
        <w:rPr>
          <w:rFonts w:hint="eastAsia" w:ascii="Times New Roman" w:hAnsi="Times New Roman" w:eastAsia="新宋体" w:cs="Times New Roman"/>
          <w:color w:val="auto"/>
          <w:sz w:val="22"/>
          <w:szCs w:val="22"/>
          <w:highlight w:val="none"/>
          <w:lang w:val="en-US" w:eastAsia="zh-CN"/>
        </w:rPr>
        <w:t>7个工作日</w:t>
      </w:r>
      <w:r>
        <w:rPr>
          <w:rFonts w:hint="eastAsia" w:ascii="Times New Roman" w:hAnsi="Times New Roman" w:eastAsia="新宋体" w:cs="Times New Roman"/>
          <w:color w:val="auto"/>
          <w:sz w:val="22"/>
          <w:szCs w:val="22"/>
          <w:highlight w:val="none"/>
          <w:lang w:eastAsia="zh-CN"/>
        </w:rPr>
        <w:t>内支付给乙方。</w:t>
      </w:r>
    </w:p>
    <w:p>
      <w:pPr>
        <w:pStyle w:val="20"/>
        <w:numPr>
          <w:ilvl w:val="0"/>
          <w:numId w:val="0"/>
        </w:numPr>
        <w:tabs>
          <w:tab w:val="left" w:pos="797"/>
          <w:tab w:val="left" w:pos="2632"/>
          <w:tab w:val="left" w:pos="6150"/>
          <w:tab w:val="left" w:pos="7098"/>
          <w:tab w:val="left" w:pos="8095"/>
        </w:tabs>
        <w:spacing w:before="118"/>
        <w:ind w:left="351" w:leftChars="0"/>
        <w:rPr>
          <w:rFonts w:hint="default" w:ascii="Times New Roman" w:hAnsi="Times New Roman" w:eastAsia="新宋体" w:cs="Times New Roman"/>
          <w:color w:val="auto"/>
          <w:sz w:val="22"/>
          <w:szCs w:val="22"/>
          <w:highlight w:val="none"/>
          <w:lang w:val="en-US" w:eastAsia="zh-CN"/>
        </w:rPr>
      </w:pPr>
      <w:r>
        <w:rPr>
          <w:rFonts w:hint="eastAsia" w:ascii="Times New Roman" w:hAnsi="Times New Roman" w:eastAsia="新宋体" w:cs="Times New Roman"/>
          <w:color w:val="auto"/>
          <w:sz w:val="22"/>
          <w:szCs w:val="22"/>
          <w:highlight w:val="none"/>
          <w:lang w:val="en-US" w:eastAsia="zh-CN"/>
        </w:rPr>
        <w:t>4、其他方式：</w:t>
      </w:r>
    </w:p>
    <w:p>
      <w:pPr>
        <w:pStyle w:val="3"/>
        <w:spacing w:before="166"/>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九、税费</w:t>
      </w:r>
    </w:p>
    <w:p>
      <w:pPr>
        <w:pStyle w:val="4"/>
        <w:spacing w:before="23"/>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本合同执行中相关的一切税费均由乙方负担。</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十、质量保证及售后服务</w:t>
      </w:r>
    </w:p>
    <w:p>
      <w:pPr>
        <w:pStyle w:val="20"/>
        <w:numPr>
          <w:ilvl w:val="0"/>
          <w:numId w:val="0"/>
        </w:numPr>
        <w:tabs>
          <w:tab w:val="left" w:pos="522"/>
        </w:tabs>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乙方保证本合同中所供应的商品是最新生产的符合国家技术规格和质量标准的出厂原装</w:t>
      </w:r>
      <w:r>
        <w:rPr>
          <w:rFonts w:hint="eastAsia"/>
          <w:color w:val="000000" w:themeColor="text1"/>
          <w:sz w:val="22"/>
          <w:szCs w:val="22"/>
          <w14:textFill>
            <w14:solidFill>
              <w14:schemeClr w14:val="tx1"/>
            </w14:solidFill>
          </w14:textFill>
        </w:rPr>
        <w:t>的</w:t>
      </w:r>
      <w:r>
        <w:rPr>
          <w:color w:val="000000" w:themeColor="text1"/>
          <w:sz w:val="22"/>
          <w:szCs w:val="22"/>
          <w14:textFill>
            <w14:solidFill>
              <w14:schemeClr w14:val="tx1"/>
            </w14:solidFill>
          </w14:textFill>
        </w:rPr>
        <w:t>合格产品。如发生所供商品与合同不符，甲方</w:t>
      </w:r>
      <w:r>
        <w:rPr>
          <w:rFonts w:hint="eastAsia"/>
          <w:color w:val="000000" w:themeColor="text1"/>
          <w:sz w:val="22"/>
          <w:szCs w:val="22"/>
          <w14:textFill>
            <w14:solidFill>
              <w14:schemeClr w14:val="tx1"/>
            </w14:solidFill>
          </w14:textFill>
        </w:rPr>
        <w:t>（采购单位）有权拒收或退货，由此产生的一切责任和后果由乙方承担。</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乙方提供的货物在质保期内因货物本身的质量问题发生故障，乙方应负责免费更换。对达不到技术要求者，根据实际情况，经双方协商，可按以下办法处理：</w:t>
      </w:r>
    </w:p>
    <w:p>
      <w:pPr>
        <w:pStyle w:val="20"/>
        <w:numPr>
          <w:ilvl w:val="0"/>
          <w:numId w:val="0"/>
        </w:numPr>
        <w:tabs>
          <w:tab w:val="left" w:pos="797"/>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更换：由乙方承担所发生的全部费用。</w:t>
      </w:r>
    </w:p>
    <w:p>
      <w:pPr>
        <w:pStyle w:val="20"/>
        <w:numPr>
          <w:ilvl w:val="0"/>
          <w:numId w:val="0"/>
        </w:numPr>
        <w:tabs>
          <w:tab w:val="left" w:pos="797"/>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贬值处理：由甲乙双方合议定价。</w:t>
      </w:r>
    </w:p>
    <w:p>
      <w:pPr>
        <w:pStyle w:val="20"/>
        <w:numPr>
          <w:ilvl w:val="0"/>
          <w:numId w:val="0"/>
        </w:numPr>
        <w:tabs>
          <w:tab w:val="left" w:pos="797"/>
        </w:tabs>
        <w:ind w:left="351" w:leftChars="0"/>
        <w:rPr>
          <w:color w:val="000000" w:themeColor="text1"/>
          <w:sz w:val="22"/>
          <w:szCs w:val="22"/>
          <w14:textFill>
            <w14:solidFill>
              <w14:schemeClr w14:val="tx1"/>
            </w14:solidFill>
          </w14:textFill>
        </w:rPr>
      </w:pPr>
      <w:r>
        <w:rPr>
          <w:rFonts w:hint="eastAsia"/>
          <w:color w:val="000000" w:themeColor="text1"/>
          <w:sz w:val="22"/>
          <w:szCs w:val="22"/>
          <w:lang w:eastAsia="zh-CN"/>
          <w14:textFill>
            <w14:solidFill>
              <w14:schemeClr w14:val="tx1"/>
            </w14:solidFill>
          </w14:textFill>
        </w:rPr>
        <w:t>（</w:t>
      </w: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lang w:eastAsia="zh-CN"/>
          <w14:textFill>
            <w14:solidFill>
              <w14:schemeClr w14:val="tx1"/>
            </w14:solidFill>
          </w14:textFill>
        </w:rPr>
        <w:t>）</w:t>
      </w:r>
      <w:r>
        <w:rPr>
          <w:color w:val="000000" w:themeColor="text1"/>
          <w:sz w:val="22"/>
          <w:szCs w:val="22"/>
          <w14:textFill>
            <w14:solidFill>
              <w14:schemeClr w14:val="tx1"/>
            </w14:solidFill>
          </w14:textFill>
        </w:rPr>
        <w:t>退货处理：乙方应退还甲方支付的合同款，同时应承担该货物的直接费用（运输、保险、检验、货款利息及银行手续费等）。</w:t>
      </w:r>
    </w:p>
    <w:p>
      <w:pPr>
        <w:pStyle w:val="20"/>
        <w:numPr>
          <w:ilvl w:val="0"/>
          <w:numId w:val="0"/>
        </w:numPr>
        <w:tabs>
          <w:tab w:val="left" w:pos="522"/>
        </w:tabs>
        <w:spacing w:before="22"/>
        <w:ind w:left="350" w:leftChars="0"/>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在质保期内，乙方应对货物出现的质量及安全问题负责处理解决并承担一切费用。</w:t>
      </w:r>
      <w:r>
        <w:rPr>
          <w:rFonts w:hint="eastAsia"/>
          <w:color w:val="000000" w:themeColor="text1"/>
          <w:sz w:val="22"/>
          <w:szCs w:val="22"/>
          <w14:textFill>
            <w14:solidFill>
              <w14:schemeClr w14:val="tx1"/>
            </w14:solidFill>
          </w14:textFill>
        </w:rPr>
        <w:t>质保期内货</w:t>
      </w:r>
    </w:p>
    <w:p>
      <w:pPr>
        <w:pStyle w:val="20"/>
        <w:numPr>
          <w:ilvl w:val="0"/>
          <w:numId w:val="0"/>
        </w:numPr>
        <w:tabs>
          <w:tab w:val="left" w:pos="522"/>
        </w:tabs>
        <w:spacing w:before="22"/>
        <w:ind w:left="350"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14:textFill>
            <w14:solidFill>
              <w14:schemeClr w14:val="tx1"/>
            </w14:solidFill>
          </w14:textFill>
        </w:rPr>
        <w:t>物故障率均不得超过</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天，每超过一天该货物质保期相应延长</w:t>
      </w:r>
      <w:r>
        <w:rPr>
          <w:rFonts w:hint="eastAsia"/>
          <w:color w:val="000000" w:themeColor="text1"/>
          <w:sz w:val="22"/>
          <w:szCs w:val="22"/>
          <w:highlight w:val="none"/>
          <w:lang w:val="en-US" w:eastAsia="zh-CN"/>
          <w14:textFill>
            <w14:solidFill>
              <w14:schemeClr w14:val="tx1"/>
            </w14:solidFill>
          </w14:textFill>
        </w:rPr>
        <w:t>XXX</w:t>
      </w:r>
      <w:r>
        <w:rPr>
          <w:rFonts w:hint="eastAsia"/>
          <w:color w:val="000000" w:themeColor="text1"/>
          <w:sz w:val="22"/>
          <w:szCs w:val="22"/>
          <w:highlight w:val="none"/>
          <w14:textFill>
            <w14:solidFill>
              <w14:schemeClr w14:val="tx1"/>
            </w14:solidFill>
          </w14:textFill>
        </w:rPr>
        <w:t>天。</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4、</w:t>
      </w:r>
      <w:r>
        <w:rPr>
          <w:rFonts w:hint="eastAsia"/>
          <w:color w:val="000000" w:themeColor="text1"/>
          <w:sz w:val="22"/>
          <w:szCs w:val="22"/>
          <w:highlight w:val="none"/>
          <w14:textFill>
            <w14:solidFill>
              <w14:schemeClr w14:val="tx1"/>
            </w14:solidFill>
          </w14:textFill>
        </w:rPr>
        <w:t>上述的货物在质保期内免费保修，因人为因素出现的故障不在免费保修范围内。超过</w:t>
      </w:r>
      <w:r>
        <w:rPr>
          <w:rFonts w:hint="eastAsia"/>
          <w:color w:val="000000" w:themeColor="text1"/>
          <w:sz w:val="22"/>
          <w:szCs w:val="22"/>
          <w:highlight w:val="none"/>
          <w:lang w:val="en-US" w:eastAsia="zh-CN"/>
          <w14:textFill>
            <w14:solidFill>
              <w14:schemeClr w14:val="tx1"/>
            </w14:solidFill>
          </w14:textFill>
        </w:rPr>
        <w:t>质保</w:t>
      </w:r>
      <w:r>
        <w:rPr>
          <w:rFonts w:hint="eastAsia"/>
          <w:color w:val="000000" w:themeColor="text1"/>
          <w:sz w:val="22"/>
          <w:szCs w:val="22"/>
          <w:highlight w:val="none"/>
          <w14:textFill>
            <w14:solidFill>
              <w14:schemeClr w14:val="tx1"/>
            </w14:solidFill>
          </w14:textFill>
        </w:rPr>
        <w:t>期的机器设备，终生维修，维修时只收部件成本费。乙方应当在</w:t>
      </w:r>
      <w:r>
        <w:rPr>
          <w:rFonts w:hint="eastAsia"/>
          <w:color w:val="000000" w:themeColor="text1"/>
          <w:sz w:val="22"/>
          <w:szCs w:val="22"/>
          <w:highlight w:val="none"/>
          <w:lang w:eastAsia="zh-CN"/>
          <w14:textFill>
            <w14:solidFill>
              <w14:schemeClr w14:val="tx1"/>
            </w14:solidFill>
          </w14:textFill>
        </w:rPr>
        <w:t>接到</w:t>
      </w:r>
      <w:r>
        <w:rPr>
          <w:rFonts w:hint="eastAsia"/>
          <w:color w:val="000000" w:themeColor="text1"/>
          <w:sz w:val="22"/>
          <w:szCs w:val="22"/>
          <w:highlight w:val="none"/>
          <w14:textFill>
            <w14:solidFill>
              <w14:schemeClr w14:val="tx1"/>
            </w14:solidFill>
          </w14:textFill>
        </w:rPr>
        <w:t>甲方通知维修后</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小时</w:t>
      </w:r>
      <w:r>
        <w:rPr>
          <w:rFonts w:hint="eastAsia"/>
          <w:color w:val="000000" w:themeColor="text1"/>
          <w:sz w:val="22"/>
          <w:szCs w:val="22"/>
          <w:highlight w:val="none"/>
          <w14:textFill>
            <w14:solidFill>
              <w14:schemeClr w14:val="tx1"/>
            </w14:solidFill>
          </w14:textFill>
        </w:rPr>
        <w:t>内</w:t>
      </w:r>
      <w:r>
        <w:rPr>
          <w:rFonts w:hint="eastAsia"/>
          <w:color w:val="000000" w:themeColor="text1"/>
          <w:sz w:val="22"/>
          <w:szCs w:val="22"/>
          <w:highlight w:val="none"/>
          <w:lang w:val="en-US" w:eastAsia="zh-CN"/>
          <w14:textFill>
            <w14:solidFill>
              <w14:schemeClr w14:val="tx1"/>
            </w14:solidFill>
          </w14:textFill>
        </w:rPr>
        <w:t>响应，</w:t>
      </w:r>
      <w:r>
        <w:rPr>
          <w:color w:val="000000" w:themeColor="text1"/>
          <w:sz w:val="22"/>
          <w:szCs w:val="22"/>
          <w:highlight w:val="none"/>
          <w:u w:val="single" w:color="4068E0"/>
          <w14:textFill>
            <w14:solidFill>
              <w14:schemeClr w14:val="tx1"/>
            </w14:solidFill>
          </w14:textFill>
        </w:rPr>
        <w:t xml:space="preserve"> </w:t>
      </w:r>
      <w:r>
        <w:rPr>
          <w:rFonts w:hint="eastAsia"/>
          <w:color w:val="000000" w:themeColor="text1"/>
          <w:sz w:val="22"/>
          <w:szCs w:val="22"/>
          <w:highlight w:val="none"/>
          <w:u w:val="single" w:color="4068E0"/>
          <w:lang w:val="en-US"/>
          <w14:textFill>
            <w14:solidFill>
              <w14:schemeClr w14:val="tx1"/>
            </w14:solidFill>
          </w14:textFill>
        </w:rPr>
        <w:t>/</w:t>
      </w:r>
      <w:r>
        <w:rPr>
          <w:rFonts w:hint="eastAsia"/>
          <w:color w:val="000000" w:themeColor="text1"/>
          <w:sz w:val="22"/>
          <w:szCs w:val="22"/>
          <w:highlight w:val="none"/>
          <w:u w:val="single" w:color="4068E0"/>
          <w:lang w:val="en-US" w:eastAsia="zh-CN"/>
          <w14:textFill>
            <w14:solidFill>
              <w14:schemeClr w14:val="tx1"/>
            </w14:solidFill>
          </w14:textFill>
        </w:rPr>
        <w:t>小时内</w:t>
      </w:r>
      <w:r>
        <w:rPr>
          <w:rFonts w:hint="eastAsia"/>
          <w:color w:val="000000" w:themeColor="text1"/>
          <w:sz w:val="22"/>
          <w:szCs w:val="22"/>
          <w:highlight w:val="none"/>
          <w14:textFill>
            <w14:solidFill>
              <w14:schemeClr w14:val="tx1"/>
            </w14:solidFill>
          </w14:textFill>
        </w:rPr>
        <w:t>到达货物所在地进行维修。</w:t>
      </w:r>
      <w:r>
        <w:rPr>
          <w:rFonts w:hint="eastAsia"/>
          <w:color w:val="000000" w:themeColor="text1"/>
          <w:sz w:val="22"/>
          <w:szCs w:val="22"/>
          <w:highlight w:val="none"/>
          <w:lang w:val="en-US" w:eastAsia="zh-CN"/>
          <w14:textFill>
            <w14:solidFill>
              <w14:schemeClr w14:val="tx1"/>
            </w14:solidFill>
          </w14:textFill>
        </w:rPr>
        <w:t>若乙方XX小时内无法维修的，乙方应当提供备用设备供甲方暂时使用。</w:t>
      </w:r>
    </w:p>
    <w:p>
      <w:pPr>
        <w:pStyle w:val="20"/>
        <w:numPr>
          <w:ilvl w:val="0"/>
          <w:numId w:val="0"/>
        </w:numPr>
        <w:tabs>
          <w:tab w:val="left" w:pos="522"/>
        </w:tabs>
        <w:spacing w:before="22"/>
        <w:ind w:left="350" w:leftChars="0"/>
        <w:rPr>
          <w:rFonts w:hint="eastAsia"/>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5.整机终生免费提供软件功能升级服务，并及时提供设备新功能和临床应用的资料。零配件在该设备停产后仍需保证10年的供应。</w:t>
      </w:r>
    </w:p>
    <w:p>
      <w:pPr>
        <w:pStyle w:val="3"/>
        <w:spacing w:before="85"/>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十一、调试和验收</w:t>
      </w:r>
    </w:p>
    <w:p>
      <w:pPr>
        <w:pStyle w:val="20"/>
        <w:numPr>
          <w:ilvl w:val="0"/>
          <w:numId w:val="0"/>
        </w:numPr>
        <w:tabs>
          <w:tab w:val="left" w:pos="522"/>
        </w:tabs>
        <w:spacing w:before="106"/>
        <w:ind w:left="351" w:leftChars="0"/>
        <w:rPr>
          <w:color w:val="000000" w:themeColor="text1"/>
          <w:sz w:val="22"/>
          <w:szCs w:val="22"/>
          <w:highlight w:val="none"/>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1、</w:t>
      </w:r>
      <w:r>
        <w:rPr>
          <w:color w:val="000000" w:themeColor="text1"/>
          <w:sz w:val="22"/>
          <w:szCs w:val="22"/>
          <w:highlight w:val="none"/>
          <w14:textFill>
            <w14:solidFill>
              <w14:schemeClr w14:val="tx1"/>
            </w14:solidFill>
          </w14:textFill>
        </w:rPr>
        <w:t>甲方对乙方提交的货物依据招标文件上的技术规格要求和国家有关质量标准进行现场验收。货到后，甲方需在</w:t>
      </w:r>
      <w:r>
        <w:rPr>
          <w:rFonts w:hint="eastAsia"/>
          <w:color w:val="000000" w:themeColor="text1"/>
          <w:sz w:val="22"/>
          <w:szCs w:val="22"/>
          <w:highlight w:val="none"/>
          <w14:textFill>
            <w14:solidFill>
              <w14:schemeClr w14:val="tx1"/>
            </w14:solidFill>
          </w14:textFill>
        </w:rPr>
        <w:t>二十</w:t>
      </w:r>
      <w:r>
        <w:rPr>
          <w:color w:val="000000" w:themeColor="text1"/>
          <w:sz w:val="22"/>
          <w:szCs w:val="22"/>
          <w:highlight w:val="none"/>
          <w14:textFill>
            <w14:solidFill>
              <w14:schemeClr w14:val="tx1"/>
            </w14:solidFill>
          </w14:textFill>
        </w:rPr>
        <w:t>个工作日内验收</w:t>
      </w:r>
      <w:r>
        <w:rPr>
          <w:rFonts w:hint="eastAsia"/>
          <w:color w:val="000000" w:themeColor="text1"/>
          <w:sz w:val="22"/>
          <w:szCs w:val="22"/>
          <w:highlight w:val="none"/>
          <w14:textFill>
            <w14:solidFill>
              <w14:schemeClr w14:val="tx1"/>
            </w14:solidFill>
          </w14:textFill>
        </w:rPr>
        <w:t>（质量等隐蔽瑕疵除外）。</w:t>
      </w:r>
    </w:p>
    <w:p>
      <w:pPr>
        <w:pStyle w:val="20"/>
        <w:numPr>
          <w:ilvl w:val="0"/>
          <w:numId w:val="0"/>
        </w:numPr>
        <w:tabs>
          <w:tab w:val="left" w:pos="522"/>
        </w:tabs>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2、</w:t>
      </w:r>
      <w:r>
        <w:rPr>
          <w:color w:val="000000" w:themeColor="text1"/>
          <w:sz w:val="22"/>
          <w:szCs w:val="22"/>
          <w:highlight w:val="none"/>
          <w14:textFill>
            <w14:solidFill>
              <w14:schemeClr w14:val="tx1"/>
            </w14:solidFill>
          </w14:textFill>
        </w:rPr>
        <w:t>乙方交货前应对产品作出全面检查和对验收文件进行整理，</w:t>
      </w:r>
      <w:r>
        <w:rPr>
          <w:color w:val="000000" w:themeColor="text1"/>
          <w:sz w:val="22"/>
          <w:szCs w:val="22"/>
          <w14:textFill>
            <w14:solidFill>
              <w14:schemeClr w14:val="tx1"/>
            </w14:solidFill>
          </w14:textFill>
        </w:rPr>
        <w:t>并列出清单，作为甲方收货验收和使用的技术条件依据，检验的结果应随货物交甲方。</w:t>
      </w:r>
    </w:p>
    <w:p>
      <w:pPr>
        <w:pStyle w:val="20"/>
        <w:numPr>
          <w:ilvl w:val="0"/>
          <w:numId w:val="0"/>
        </w:numPr>
        <w:tabs>
          <w:tab w:val="left" w:pos="522"/>
        </w:tabs>
        <w:spacing w:before="0"/>
        <w:ind w:left="351" w:leftChars="0" w:right="101" w:righ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color w:val="000000" w:themeColor="text1"/>
          <w:sz w:val="22"/>
          <w:szCs w:val="22"/>
          <w14:textFill>
            <w14:solidFill>
              <w14:schemeClr w14:val="tx1"/>
            </w14:solidFill>
          </w14:textFill>
        </w:rPr>
        <w:t>对技术复杂的货物，甲方应请国家认可的专业检测机构参与验收，并由其出具质量检测报告。</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r>
        <w:rPr>
          <w:color w:val="000000" w:themeColor="text1"/>
          <w:sz w:val="22"/>
          <w:szCs w:val="22"/>
          <w14:textFill>
            <w14:solidFill>
              <w14:schemeClr w14:val="tx1"/>
            </w14:solidFill>
          </w14:textFill>
        </w:rPr>
        <w:t>验收时乙方必须在现场，验收完毕后作出验收结果报告；验收费用由乙方负责。</w:t>
      </w:r>
    </w:p>
    <w:p>
      <w:pPr>
        <w:pStyle w:val="20"/>
        <w:numPr>
          <w:ilvl w:val="0"/>
          <w:numId w:val="0"/>
        </w:numPr>
        <w:tabs>
          <w:tab w:val="left" w:pos="522"/>
        </w:tabs>
        <w:spacing w:before="22"/>
        <w:ind w:left="350" w:leftChars="0"/>
        <w:rPr>
          <w:rFonts w:hint="default"/>
          <w:color w:val="000000" w:themeColor="text1"/>
          <w:sz w:val="22"/>
          <w:szCs w:val="22"/>
          <w:highlight w:val="none"/>
          <w:lang w:val="en-US" w:eastAsia="zh-CN"/>
          <w14:textFill>
            <w14:solidFill>
              <w14:schemeClr w14:val="tx1"/>
            </w14:solidFill>
          </w14:textFill>
        </w:rPr>
      </w:pPr>
      <w:r>
        <w:rPr>
          <w:rFonts w:hint="eastAsia"/>
          <w:color w:val="000000" w:themeColor="text1"/>
          <w:sz w:val="22"/>
          <w:szCs w:val="22"/>
          <w:highlight w:val="none"/>
          <w:lang w:val="en-US" w:eastAsia="zh-CN"/>
          <w14:textFill>
            <w14:solidFill>
              <w14:schemeClr w14:val="tx1"/>
            </w14:solidFill>
          </w14:textFill>
        </w:rPr>
        <w:t>6.</w:t>
      </w:r>
      <w:r>
        <w:rPr>
          <w:rFonts w:hint="eastAsia" w:ascii="新宋体" w:hAnsi="新宋体" w:eastAsia="新宋体" w:cs="新宋体"/>
          <w:b w:val="0"/>
          <w:bCs/>
          <w:sz w:val="22"/>
          <w:szCs w:val="22"/>
          <w:highlight w:val="none"/>
        </w:rPr>
        <w:t>验收过程中发现货物性能或功能达不到要求，</w:t>
      </w:r>
      <w:r>
        <w:rPr>
          <w:rFonts w:hint="eastAsia" w:ascii="新宋体" w:hAnsi="新宋体" w:eastAsia="新宋体" w:cs="新宋体"/>
          <w:b w:val="0"/>
          <w:bCs/>
          <w:sz w:val="22"/>
          <w:szCs w:val="22"/>
          <w:highlight w:val="none"/>
          <w:lang w:val="en-US" w:eastAsia="zh-CN"/>
        </w:rPr>
        <w:t>乙</w:t>
      </w:r>
      <w:r>
        <w:rPr>
          <w:rFonts w:hint="eastAsia" w:ascii="新宋体" w:hAnsi="新宋体" w:eastAsia="新宋体" w:cs="新宋体"/>
          <w:b w:val="0"/>
          <w:bCs/>
          <w:sz w:val="22"/>
          <w:szCs w:val="22"/>
          <w:highlight w:val="none"/>
        </w:rPr>
        <w:t>方必须更换有关部件，使货物最终达到规定的性能指标和功能要求，但必须在发现问题后15个工作日内完成。</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十二、货物包装</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乙方应在货物发运前对其进行满足运输距离、防潮、防震、防锈和防破损装卸等要求包装，以保证货物安全运达甲方指定地点。</w:t>
      </w:r>
    </w:p>
    <w:p>
      <w:pPr>
        <w:pStyle w:val="20"/>
        <w:numPr>
          <w:ilvl w:val="0"/>
          <w:numId w:val="0"/>
        </w:numPr>
        <w:tabs>
          <w:tab w:val="left" w:pos="522"/>
        </w:tabs>
        <w:spacing w:before="22"/>
        <w:ind w:left="350"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使用说明书、质量检验证明书、随配附件和工具以及清单一并附于货物内。</w:t>
      </w:r>
    </w:p>
    <w:p>
      <w:pPr>
        <w:pStyle w:val="20"/>
        <w:tabs>
          <w:tab w:val="left" w:pos="522"/>
        </w:tabs>
        <w:ind w:left="0" w:right="4471" w:firstLine="0"/>
        <w:rPr>
          <w:b/>
          <w:color w:val="000000" w:themeColor="text1"/>
          <w:sz w:val="22"/>
          <w:szCs w:val="22"/>
          <w14:textFill>
            <w14:solidFill>
              <w14:schemeClr w14:val="tx1"/>
            </w14:solidFill>
          </w14:textFill>
        </w:rPr>
      </w:pPr>
      <w:r>
        <w:rPr>
          <w:rFonts w:hint="eastAsia"/>
          <w:b/>
          <w:color w:val="000000" w:themeColor="text1"/>
          <w:spacing w:val="10"/>
          <w:sz w:val="22"/>
          <w:szCs w:val="22"/>
          <w14:textFill>
            <w14:solidFill>
              <w14:schemeClr w14:val="tx1"/>
            </w14:solidFill>
          </w14:textFill>
        </w:rPr>
        <w:t>十</w:t>
      </w:r>
      <w:r>
        <w:rPr>
          <w:b/>
          <w:color w:val="000000" w:themeColor="text1"/>
          <w:spacing w:val="10"/>
          <w:sz w:val="22"/>
          <w:szCs w:val="22"/>
          <w14:textFill>
            <w14:solidFill>
              <w14:schemeClr w14:val="tx1"/>
            </w14:solidFill>
          </w14:textFill>
        </w:rPr>
        <w:t>三、违约责任</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甲方无正当理由拒收货物的，甲方向乙方</w:t>
      </w:r>
      <w:r>
        <w:rPr>
          <w:rFonts w:hint="eastAsia"/>
          <w:color w:val="000000" w:themeColor="text1"/>
          <w:sz w:val="22"/>
          <w:szCs w:val="22"/>
          <w:lang w:eastAsia="zh-CN"/>
          <w14:textFill>
            <w14:solidFill>
              <w14:schemeClr w14:val="tx1"/>
            </w14:solidFill>
          </w14:textFill>
        </w:rPr>
        <w:t>支付</w:t>
      </w:r>
      <w:r>
        <w:rPr>
          <w:color w:val="000000" w:themeColor="text1"/>
          <w:sz w:val="22"/>
          <w:szCs w:val="22"/>
          <w14:textFill>
            <w14:solidFill>
              <w14:schemeClr w14:val="tx1"/>
            </w14:solidFill>
          </w14:textFill>
        </w:rPr>
        <w:t>拒收货款总值的百分之五违约金。</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乙方逾期交付货物的，乙方应按</w:t>
      </w:r>
      <w:r>
        <w:rPr>
          <w:rFonts w:hint="eastAsia"/>
          <w:color w:val="000000" w:themeColor="text1"/>
          <w:sz w:val="22"/>
          <w:szCs w:val="22"/>
          <w:lang w:val="en-US" w:eastAsia="zh-CN"/>
          <w14:textFill>
            <w14:solidFill>
              <w14:schemeClr w14:val="tx1"/>
            </w14:solidFill>
          </w14:textFill>
        </w:rPr>
        <w:t>合同总额</w:t>
      </w:r>
      <w:r>
        <w:rPr>
          <w:color w:val="000000" w:themeColor="text1"/>
          <w:sz w:val="22"/>
          <w:szCs w:val="22"/>
          <w14:textFill>
            <w14:solidFill>
              <w14:schemeClr w14:val="tx1"/>
            </w14:solidFill>
          </w14:textFill>
        </w:rPr>
        <w:t>每日千分之六向甲方支付违约金，由甲方从待付货款中扣除。逾期超过约定日期</w:t>
      </w:r>
      <w:r>
        <w:rPr>
          <w:rFonts w:hint="eastAsia"/>
          <w:color w:val="000000" w:themeColor="text1"/>
          <w:sz w:val="22"/>
          <w:szCs w:val="22"/>
          <w14:textFill>
            <w14:solidFill>
              <w14:schemeClr w14:val="tx1"/>
            </w14:solidFill>
          </w14:textFill>
        </w:rPr>
        <w:t>10个工作日不能交货的，甲方可解除本合同。乙方因逾期交货或因其他违约行为导致甲方解除合同的，乙方应向甲方支付合同总值</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5%</w:t>
      </w:r>
      <w:r>
        <w:rPr>
          <w:rFonts w:hint="eastAsia"/>
          <w:color w:val="000000" w:themeColor="text1"/>
          <w:sz w:val="22"/>
          <w:szCs w:val="22"/>
          <w:lang w:val="en-US" w:eastAsia="zh-CN"/>
          <w14:textFill>
            <w14:solidFill>
              <w14:schemeClr w14:val="tx1"/>
            </w14:solidFill>
          </w14:textFill>
        </w:rPr>
        <w:t xml:space="preserve"> </w:t>
      </w:r>
      <w:r>
        <w:rPr>
          <w:rFonts w:hint="eastAsia"/>
          <w:color w:val="000000" w:themeColor="text1"/>
          <w:sz w:val="22"/>
          <w:szCs w:val="22"/>
          <w14:textFill>
            <w14:solidFill>
              <w14:schemeClr w14:val="tx1"/>
            </w14:solidFill>
          </w14:textFill>
        </w:rPr>
        <w:t>的违约金，如造成甲方损失超过违约金的，超出部分由乙方继续承担赔偿责任。</w:t>
      </w:r>
    </w:p>
    <w:p>
      <w:pPr>
        <w:pStyle w:val="20"/>
        <w:numPr>
          <w:ilvl w:val="0"/>
          <w:numId w:val="0"/>
        </w:numPr>
        <w:tabs>
          <w:tab w:val="left" w:pos="522"/>
        </w:tabs>
        <w:spacing w:before="0"/>
        <w:ind w:left="351" w:leftChars="0"/>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r>
        <w:rPr>
          <w:rFonts w:hint="eastAsia"/>
          <w:color w:val="000000" w:themeColor="text1"/>
          <w:sz w:val="22"/>
          <w:szCs w:val="22"/>
          <w14:textFill>
            <w14:solidFill>
              <w14:schemeClr w14:val="tx1"/>
            </w14:solidFill>
          </w14:textFill>
        </w:rPr>
        <w:t>乙方所交的货物品种、型号、规格、技术参数、质量不符合合同</w:t>
      </w:r>
      <w:r>
        <w:rPr>
          <w:rFonts w:hint="eastAsia"/>
          <w:color w:val="000000" w:themeColor="text1"/>
          <w:sz w:val="22"/>
          <w:szCs w:val="22"/>
          <w:lang w:eastAsia="zh-CN"/>
          <w14:textFill>
            <w14:solidFill>
              <w14:schemeClr w14:val="tx1"/>
            </w14:solidFill>
          </w14:textFill>
        </w:rPr>
        <w:t>约定</w:t>
      </w:r>
      <w:r>
        <w:rPr>
          <w:rFonts w:hint="eastAsia"/>
          <w:color w:val="000000" w:themeColor="text1"/>
          <w:sz w:val="22"/>
          <w:szCs w:val="22"/>
          <w14:textFill>
            <w14:solidFill>
              <w14:schemeClr w14:val="tx1"/>
            </w14:solidFill>
          </w14:textFill>
        </w:rPr>
        <w:t>及招标文件规定标准的，甲方有权拒收该货物，乙方愿意更换货物，但逾期交货的，按乙方逾期交货处理。乙方拒绝更换货物的，甲方可单方面解除合同。</w:t>
      </w:r>
    </w:p>
    <w:p>
      <w:pPr>
        <w:pStyle w:val="20"/>
        <w:numPr>
          <w:ilvl w:val="0"/>
          <w:numId w:val="0"/>
        </w:numPr>
        <w:tabs>
          <w:tab w:val="left" w:pos="522"/>
        </w:tabs>
        <w:spacing w:before="0"/>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lang w:eastAsia="zh-CN"/>
          <w14:textFill>
            <w14:solidFill>
              <w14:schemeClr w14:val="tx1"/>
            </w14:solidFill>
          </w14:textFill>
        </w:rPr>
        <w:t>由于乙方所提供的货物存在问题，给第三人人身或财产造成损害的，由乙方承担赔偿责任。若甲方承担赔偿责任后，有权向乙方追偿，包括但不限于律师费、诉讼费、交通费等。</w:t>
      </w:r>
    </w:p>
    <w:p>
      <w:pPr>
        <w:pStyle w:val="20"/>
        <w:numPr>
          <w:ilvl w:val="0"/>
          <w:numId w:val="0"/>
        </w:numPr>
        <w:ind w:left="350" w:leftChars="0"/>
        <w:rPr>
          <w:rFonts w:hint="eastAsia"/>
          <w:color w:val="000000" w:themeColor="text1"/>
          <w:sz w:val="22"/>
          <w:szCs w:val="22"/>
          <w14:textFill>
            <w14:solidFill>
              <w14:schemeClr w14:val="tx1"/>
            </w14:solidFill>
          </w14:textFill>
        </w:rPr>
      </w:pPr>
    </w:p>
    <w:p>
      <w:pPr>
        <w:pStyle w:val="3"/>
        <w:spacing w:before="85"/>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十四、不可抗力事件处理</w:t>
      </w:r>
    </w:p>
    <w:p>
      <w:pPr>
        <w:pStyle w:val="20"/>
        <w:numPr>
          <w:ilvl w:val="0"/>
          <w:numId w:val="0"/>
        </w:numPr>
        <w:tabs>
          <w:tab w:val="left" w:pos="522"/>
        </w:tabs>
        <w:spacing w:before="106"/>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color w:val="000000" w:themeColor="text1"/>
          <w:sz w:val="22"/>
          <w:szCs w:val="22"/>
          <w14:textFill>
            <w14:solidFill>
              <w14:schemeClr w14:val="tx1"/>
            </w14:solidFill>
          </w14:textFill>
        </w:rPr>
        <w:t>在合同有效期内，任何一方因不可抗力事件导致不能履行合同，</w:t>
      </w:r>
      <w:r>
        <w:rPr>
          <w:rFonts w:hint="eastAsia"/>
          <w:color w:val="000000" w:themeColor="text1"/>
          <w:sz w:val="22"/>
          <w:szCs w:val="22"/>
          <w14:textFill>
            <w14:solidFill>
              <w14:schemeClr w14:val="tx1"/>
            </w14:solidFill>
          </w14:textFill>
        </w:rPr>
        <w:t>双方协商后，</w:t>
      </w:r>
      <w:r>
        <w:rPr>
          <w:color w:val="000000" w:themeColor="text1"/>
          <w:sz w:val="22"/>
          <w:szCs w:val="22"/>
          <w14:textFill>
            <w14:solidFill>
              <w14:schemeClr w14:val="tx1"/>
            </w14:solidFill>
          </w14:textFill>
        </w:rPr>
        <w:t>则合同履行期可延长，其延长期与不可抗力影响期相同。</w:t>
      </w:r>
    </w:p>
    <w:p>
      <w:pPr>
        <w:pStyle w:val="20"/>
        <w:numPr>
          <w:ilvl w:val="0"/>
          <w:numId w:val="0"/>
        </w:numPr>
        <w:tabs>
          <w:tab w:val="left" w:pos="522"/>
        </w:tabs>
        <w:ind w:left="351" w:leftChars="0"/>
        <w:rPr>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color w:val="000000" w:themeColor="text1"/>
          <w:sz w:val="22"/>
          <w:szCs w:val="22"/>
          <w14:textFill>
            <w14:solidFill>
              <w14:schemeClr w14:val="tx1"/>
            </w14:solidFill>
          </w14:textFill>
        </w:rPr>
        <w:t>不可抗力事件发生后，应立即通知对方，并寄送有关权威机构出具的证明。</w:t>
      </w:r>
    </w:p>
    <w:p>
      <w:pPr>
        <w:pStyle w:val="20"/>
        <w:numPr>
          <w:ilvl w:val="0"/>
          <w:numId w:val="0"/>
        </w:numPr>
        <w:tabs>
          <w:tab w:val="left" w:pos="522"/>
        </w:tabs>
        <w:spacing w:before="22"/>
        <w:ind w:left="351" w:leftChars="0"/>
        <w:rPr>
          <w:color w:val="000000" w:themeColor="text1"/>
          <w:sz w:val="22"/>
          <w:szCs w:val="22"/>
          <w14:textFill>
            <w14:solidFill>
              <w14:schemeClr w14:val="tx1"/>
            </w14:solidFill>
          </w14:textFill>
        </w:rPr>
      </w:pPr>
      <w:r>
        <w:rPr>
          <w:rFonts w:hint="eastAsia"/>
          <w:color w:val="000000" w:themeColor="text1"/>
          <w:spacing w:val="-3"/>
          <w:sz w:val="22"/>
          <w:szCs w:val="22"/>
          <w:lang w:val="en-US" w:eastAsia="zh-CN"/>
          <w14:textFill>
            <w14:solidFill>
              <w14:schemeClr w14:val="tx1"/>
            </w14:solidFill>
          </w14:textFill>
        </w:rPr>
        <w:t>3、</w:t>
      </w:r>
      <w:r>
        <w:rPr>
          <w:color w:val="000000" w:themeColor="text1"/>
          <w:spacing w:val="-3"/>
          <w:sz w:val="22"/>
          <w:szCs w:val="22"/>
          <w14:textFill>
            <w14:solidFill>
              <w14:schemeClr w14:val="tx1"/>
            </w14:solidFill>
          </w14:textFill>
        </w:rPr>
        <w:t xml:space="preserve">不可抗力事件延续 </w:t>
      </w:r>
      <w:r>
        <w:rPr>
          <w:color w:val="000000" w:themeColor="text1"/>
          <w:sz w:val="22"/>
          <w:szCs w:val="22"/>
          <w14:textFill>
            <w14:solidFill>
              <w14:schemeClr w14:val="tx1"/>
            </w14:solidFill>
          </w14:textFill>
        </w:rPr>
        <w:t>120天以上，双方</w:t>
      </w:r>
      <w:r>
        <w:rPr>
          <w:rFonts w:hint="eastAsia"/>
          <w:color w:val="000000" w:themeColor="text1"/>
          <w:sz w:val="22"/>
          <w:szCs w:val="22"/>
          <w14:textFill>
            <w14:solidFill>
              <w14:schemeClr w14:val="tx1"/>
            </w14:solidFill>
          </w14:textFill>
        </w:rPr>
        <w:t>可以</w:t>
      </w:r>
      <w:r>
        <w:rPr>
          <w:color w:val="000000" w:themeColor="text1"/>
          <w:sz w:val="22"/>
          <w:szCs w:val="22"/>
          <w14:textFill>
            <w14:solidFill>
              <w14:schemeClr w14:val="tx1"/>
            </w14:solidFill>
          </w14:textFill>
        </w:rPr>
        <w:t>通过友好协商，确定是否继续履行合同。</w:t>
      </w:r>
    </w:p>
    <w:p>
      <w:pPr>
        <w:pStyle w:val="3"/>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十五、诉讼</w:t>
      </w:r>
    </w:p>
    <w:p>
      <w:pPr>
        <w:pStyle w:val="4"/>
        <w:spacing w:before="22"/>
        <w:ind w:left="351"/>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双方在执行合同中所发生的一切争议，应通过协商解决。如协商不成，可向甲方所在地法院起诉。</w:t>
      </w:r>
    </w:p>
    <w:p>
      <w:pPr>
        <w:pStyle w:val="3"/>
        <w:spacing w:before="107"/>
        <w:rPr>
          <w:sz w:val="22"/>
          <w:szCs w:val="22"/>
        </w:rPr>
      </w:pPr>
      <w:r>
        <w:rPr>
          <w:sz w:val="22"/>
          <w:szCs w:val="22"/>
        </w:rPr>
        <w:t>十六、合同生效及其它</w:t>
      </w:r>
    </w:p>
    <w:p>
      <w:pPr>
        <w:pStyle w:val="20"/>
        <w:numPr>
          <w:ilvl w:val="0"/>
          <w:numId w:val="0"/>
        </w:numPr>
        <w:tabs>
          <w:tab w:val="left" w:pos="522"/>
        </w:tabs>
        <w:ind w:left="351" w:leftChars="0"/>
        <w:rPr>
          <w:sz w:val="22"/>
          <w:szCs w:val="22"/>
        </w:rPr>
      </w:pPr>
      <w:r>
        <w:rPr>
          <w:rFonts w:hint="eastAsia"/>
          <w:sz w:val="22"/>
          <w:szCs w:val="22"/>
          <w:lang w:val="en-US" w:eastAsia="zh-CN"/>
        </w:rPr>
        <w:t>1、</w:t>
      </w:r>
      <w:r>
        <w:rPr>
          <w:sz w:val="22"/>
          <w:szCs w:val="22"/>
        </w:rPr>
        <w:t>本合同经甲、乙双方签字并加盖</w:t>
      </w:r>
      <w:r>
        <w:rPr>
          <w:rFonts w:hint="eastAsia"/>
          <w:sz w:val="22"/>
          <w:szCs w:val="22"/>
        </w:rPr>
        <w:t>合同专用章或单位公章</w:t>
      </w:r>
      <w:r>
        <w:rPr>
          <w:sz w:val="22"/>
          <w:szCs w:val="22"/>
        </w:rPr>
        <w:t>后生效。</w:t>
      </w:r>
    </w:p>
    <w:p>
      <w:pPr>
        <w:pStyle w:val="20"/>
        <w:numPr>
          <w:ilvl w:val="0"/>
          <w:numId w:val="0"/>
        </w:numPr>
        <w:tabs>
          <w:tab w:val="left" w:pos="522"/>
        </w:tabs>
        <w:ind w:left="351" w:leftChars="0" w:right="101" w:rightChars="0"/>
        <w:rPr>
          <w:sz w:val="22"/>
          <w:szCs w:val="22"/>
        </w:rPr>
      </w:pPr>
      <w:r>
        <w:rPr>
          <w:rFonts w:hint="eastAsia"/>
          <w:sz w:val="22"/>
          <w:szCs w:val="22"/>
          <w:lang w:val="en-US" w:eastAsia="zh-CN"/>
        </w:rPr>
        <w:t>2、</w:t>
      </w:r>
      <w:r>
        <w:rPr>
          <w:sz w:val="22"/>
          <w:szCs w:val="22"/>
        </w:rPr>
        <w:t>招标文件、投标文件、项目采购协议或入围承诺书与本合同具有同等法律效力。如前述各项文件之间约定不一致的，应以最新签署的文件内容为准。</w:t>
      </w:r>
    </w:p>
    <w:p>
      <w:pPr>
        <w:pStyle w:val="20"/>
        <w:numPr>
          <w:ilvl w:val="0"/>
          <w:numId w:val="0"/>
        </w:numPr>
        <w:tabs>
          <w:tab w:val="left" w:pos="522"/>
        </w:tabs>
        <w:spacing w:before="1"/>
        <w:ind w:left="350" w:leftChars="0"/>
        <w:rPr>
          <w:sz w:val="22"/>
          <w:szCs w:val="22"/>
        </w:rPr>
      </w:pPr>
      <w:r>
        <w:rPr>
          <w:rFonts w:hint="eastAsia"/>
          <w:sz w:val="22"/>
          <w:szCs w:val="22"/>
          <w:lang w:val="en-US" w:eastAsia="zh-CN"/>
        </w:rPr>
        <w:t>3、</w:t>
      </w:r>
      <w:r>
        <w:rPr>
          <w:sz w:val="22"/>
          <w:szCs w:val="22"/>
        </w:rPr>
        <w:t>本合同未尽事宜，</w:t>
      </w:r>
      <w:r>
        <w:rPr>
          <w:rFonts w:hint="eastAsia"/>
          <w:sz w:val="22"/>
          <w:szCs w:val="22"/>
        </w:rPr>
        <w:t>以招投标文件为准</w:t>
      </w:r>
      <w:r>
        <w:rPr>
          <w:sz w:val="22"/>
          <w:szCs w:val="22"/>
        </w:rPr>
        <w:t>。</w:t>
      </w:r>
    </w:p>
    <w:p>
      <w:pPr>
        <w:pStyle w:val="20"/>
        <w:numPr>
          <w:ilvl w:val="0"/>
          <w:numId w:val="0"/>
        </w:numPr>
        <w:ind w:left="350" w:leftChars="0"/>
        <w:rPr>
          <w:sz w:val="22"/>
          <w:szCs w:val="22"/>
        </w:rPr>
      </w:pPr>
      <w:r>
        <w:rPr>
          <w:rFonts w:hint="eastAsia"/>
          <w:sz w:val="22"/>
          <w:szCs w:val="22"/>
          <w:lang w:val="en-US" w:eastAsia="zh-CN"/>
        </w:rPr>
        <w:t>4、</w:t>
      </w:r>
      <w:r>
        <w:rPr>
          <w:rFonts w:hint="eastAsia"/>
          <w:sz w:val="22"/>
          <w:szCs w:val="22"/>
        </w:rPr>
        <w:t>本合同一式三份，甲方执二份，乙方执一份，具有同等法律效力。</w:t>
      </w:r>
    </w:p>
    <w:p>
      <w:pPr>
        <w:pStyle w:val="20"/>
        <w:numPr>
          <w:ilvl w:val="0"/>
          <w:numId w:val="0"/>
        </w:numPr>
        <w:ind w:left="350" w:leftChars="0"/>
        <w:rPr>
          <w:sz w:val="22"/>
          <w:szCs w:val="22"/>
        </w:rPr>
      </w:pPr>
      <w:r>
        <w:rPr>
          <w:rFonts w:hint="eastAsia"/>
          <w:sz w:val="22"/>
          <w:szCs w:val="22"/>
          <w:lang w:val="en-US" w:eastAsia="zh-CN"/>
        </w:rPr>
        <w:t>5、</w:t>
      </w:r>
      <w:r>
        <w:rPr>
          <w:rFonts w:hint="eastAsia"/>
          <w:sz w:val="22"/>
          <w:szCs w:val="22"/>
        </w:rPr>
        <w:t>附件设备配置清单系本合同不可分割的组成部分，与本合同具有同等法律效力。</w:t>
      </w:r>
    </w:p>
    <w:p>
      <w:pPr>
        <w:pStyle w:val="4"/>
        <w:spacing w:before="106" w:line="264" w:lineRule="auto"/>
        <w:ind w:left="105" w:right="209"/>
        <w:rPr>
          <w:sz w:val="22"/>
          <w:szCs w:val="22"/>
        </w:rPr>
      </w:pPr>
    </w:p>
    <w:p>
      <w:pPr>
        <w:pStyle w:val="4"/>
        <w:spacing w:before="106" w:line="264" w:lineRule="auto"/>
        <w:ind w:right="209"/>
        <w:rPr>
          <w:sz w:val="22"/>
          <w:szCs w:val="22"/>
        </w:rPr>
      </w:pPr>
    </w:p>
    <w:p>
      <w:pPr>
        <w:pStyle w:val="4"/>
        <w:spacing w:before="106" w:line="264" w:lineRule="auto"/>
        <w:ind w:left="105" w:right="209"/>
        <w:rPr>
          <w:sz w:val="22"/>
          <w:szCs w:val="22"/>
        </w:rPr>
      </w:pPr>
      <w:r>
        <w:rPr>
          <w:rFonts w:hint="eastAsia"/>
          <w:sz w:val="22"/>
          <w:szCs w:val="22"/>
        </w:rPr>
        <w:t>甲方（盖章）： 温州市中医院</w:t>
      </w:r>
      <w:r>
        <w:rPr>
          <w:rFonts w:hint="eastAsia"/>
          <w:sz w:val="22"/>
          <w:szCs w:val="22"/>
        </w:rPr>
        <w:tab/>
      </w:r>
      <w:r>
        <w:rPr>
          <w:rFonts w:hint="eastAsia"/>
          <w:sz w:val="22"/>
          <w:szCs w:val="22"/>
        </w:rPr>
        <w:tab/>
      </w:r>
      <w:r>
        <w:rPr>
          <w:rFonts w:hint="eastAsia"/>
          <w:sz w:val="22"/>
          <w:szCs w:val="22"/>
        </w:rPr>
        <w:t xml:space="preserve">              </w:t>
      </w:r>
      <w:r>
        <w:rPr>
          <w:rFonts w:hint="eastAsia"/>
          <w:sz w:val="22"/>
          <w:szCs w:val="22"/>
          <w:lang w:val="en-US" w:eastAsia="zh-CN"/>
        </w:rPr>
        <w:t xml:space="preserve"> </w:t>
      </w:r>
      <w:r>
        <w:rPr>
          <w:rFonts w:hint="eastAsia"/>
          <w:sz w:val="22"/>
          <w:szCs w:val="22"/>
        </w:rPr>
        <w:t xml:space="preserve">乙方（盖章）：  </w:t>
      </w:r>
    </w:p>
    <w:p>
      <w:pPr>
        <w:pStyle w:val="4"/>
        <w:spacing w:before="106" w:line="264" w:lineRule="auto"/>
        <w:ind w:left="105" w:right="209"/>
        <w:rPr>
          <w:sz w:val="22"/>
          <w:szCs w:val="22"/>
        </w:rPr>
      </w:pPr>
      <w:r>
        <w:rPr>
          <w:rFonts w:hint="eastAsia"/>
          <w:sz w:val="22"/>
          <w:szCs w:val="22"/>
        </w:rPr>
        <w:t>地址：温州市六虹桥路蛟尾路9号                   地址：</w:t>
      </w:r>
    </w:p>
    <w:p>
      <w:pPr>
        <w:pStyle w:val="4"/>
        <w:spacing w:before="106" w:line="264" w:lineRule="auto"/>
        <w:ind w:left="105" w:right="209"/>
        <w:rPr>
          <w:sz w:val="22"/>
          <w:szCs w:val="22"/>
        </w:rPr>
      </w:pPr>
      <w:r>
        <w:rPr>
          <w:rFonts w:hint="eastAsia"/>
          <w:sz w:val="22"/>
          <w:szCs w:val="22"/>
        </w:rPr>
        <w:t xml:space="preserve">法定（授权）代表人：                            法定（授权）代表人： </w:t>
      </w:r>
    </w:p>
    <w:p>
      <w:pPr>
        <w:pStyle w:val="4"/>
        <w:spacing w:before="106" w:line="264" w:lineRule="auto"/>
        <w:ind w:left="105" w:right="209"/>
        <w:rPr>
          <w:sz w:val="18"/>
        </w:rPr>
      </w:pPr>
      <w:r>
        <w:rPr>
          <w:rFonts w:hint="eastAsia"/>
          <w:sz w:val="22"/>
          <w:szCs w:val="22"/>
        </w:rPr>
        <w:t>签字日期：    年    月    日                    签字日期：    年   月   日</w:t>
      </w:r>
    </w:p>
    <w:p>
      <w:pPr>
        <w:widowControl/>
        <w:jc w:val="left"/>
        <w:rPr>
          <w:rFonts w:ascii="宋体" w:hAnsi="宋体" w:eastAsia="宋体" w:cs="宋体"/>
          <w:kern w:val="0"/>
          <w:szCs w:val="17"/>
          <w:lang w:val="zh-CN" w:bidi="zh-CN"/>
        </w:rPr>
      </w:pPr>
      <w:r>
        <w:br w:type="page"/>
      </w:r>
    </w:p>
    <w:p>
      <w:pPr>
        <w:jc w:val="center"/>
        <w:rPr>
          <w:b/>
          <w:sz w:val="36"/>
          <w:szCs w:val="36"/>
        </w:rPr>
      </w:pPr>
      <w:r>
        <w:rPr>
          <w:rFonts w:hint="eastAsia"/>
          <w:b/>
          <w:sz w:val="36"/>
          <w:szCs w:val="36"/>
        </w:rPr>
        <w:t>设备配置清单</w:t>
      </w:r>
    </w:p>
    <w:p>
      <w:pPr>
        <w:pStyle w:val="4"/>
        <w:rPr>
          <w:sz w:val="20"/>
        </w:rPr>
      </w:pPr>
    </w:p>
    <w:tbl>
      <w:tblPr>
        <w:tblStyle w:val="11"/>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5" w:type="dxa"/>
          </w:tcPr>
          <w:p>
            <w:pPr>
              <w:jc w:val="center"/>
              <w:rPr>
                <w:b/>
                <w:sz w:val="22"/>
                <w:szCs w:val="22"/>
              </w:rPr>
            </w:pPr>
            <w:r>
              <w:rPr>
                <w:rFonts w:hint="eastAsia"/>
                <w:b/>
                <w:sz w:val="22"/>
                <w:szCs w:val="22"/>
              </w:rPr>
              <w:t>序号</w:t>
            </w:r>
          </w:p>
        </w:tc>
        <w:tc>
          <w:tcPr>
            <w:tcW w:w="1231" w:type="dxa"/>
            <w:vAlign w:val="center"/>
          </w:tcPr>
          <w:p>
            <w:pPr>
              <w:jc w:val="center"/>
              <w:rPr>
                <w:b/>
                <w:sz w:val="22"/>
                <w:szCs w:val="22"/>
              </w:rPr>
            </w:pPr>
            <w:r>
              <w:rPr>
                <w:rFonts w:hint="eastAsia"/>
                <w:b/>
                <w:sz w:val="22"/>
                <w:szCs w:val="22"/>
              </w:rPr>
              <w:t>品牌</w:t>
            </w:r>
          </w:p>
        </w:tc>
        <w:tc>
          <w:tcPr>
            <w:tcW w:w="2934" w:type="dxa"/>
            <w:vAlign w:val="center"/>
          </w:tcPr>
          <w:p>
            <w:pPr>
              <w:jc w:val="center"/>
              <w:rPr>
                <w:b/>
                <w:sz w:val="22"/>
                <w:szCs w:val="22"/>
              </w:rPr>
            </w:pPr>
            <w:r>
              <w:rPr>
                <w:rFonts w:hint="eastAsia"/>
                <w:b/>
                <w:sz w:val="22"/>
                <w:szCs w:val="22"/>
              </w:rPr>
              <w:t>产品名称</w:t>
            </w:r>
          </w:p>
        </w:tc>
        <w:tc>
          <w:tcPr>
            <w:tcW w:w="1815" w:type="dxa"/>
            <w:vAlign w:val="center"/>
          </w:tcPr>
          <w:p>
            <w:pPr>
              <w:jc w:val="center"/>
              <w:rPr>
                <w:b/>
                <w:sz w:val="22"/>
                <w:szCs w:val="22"/>
              </w:rPr>
            </w:pPr>
            <w:r>
              <w:rPr>
                <w:rFonts w:hint="eastAsia"/>
                <w:b/>
                <w:sz w:val="22"/>
                <w:szCs w:val="22"/>
              </w:rPr>
              <w:t>规格型号</w:t>
            </w:r>
          </w:p>
        </w:tc>
        <w:tc>
          <w:tcPr>
            <w:tcW w:w="705" w:type="dxa"/>
            <w:vAlign w:val="center"/>
          </w:tcPr>
          <w:p>
            <w:pPr>
              <w:jc w:val="center"/>
              <w:rPr>
                <w:b/>
                <w:sz w:val="22"/>
                <w:szCs w:val="22"/>
              </w:rPr>
            </w:pPr>
            <w:r>
              <w:rPr>
                <w:rFonts w:hint="eastAsia"/>
                <w:b/>
                <w:sz w:val="22"/>
                <w:szCs w:val="22"/>
              </w:rPr>
              <w:t>数量</w:t>
            </w:r>
          </w:p>
        </w:tc>
        <w:tc>
          <w:tcPr>
            <w:tcW w:w="1110" w:type="dxa"/>
            <w:vAlign w:val="center"/>
          </w:tcPr>
          <w:p>
            <w:pPr>
              <w:jc w:val="center"/>
              <w:rPr>
                <w:b/>
                <w:sz w:val="22"/>
                <w:szCs w:val="22"/>
              </w:rPr>
            </w:pPr>
            <w:r>
              <w:rPr>
                <w:rFonts w:hint="eastAsia"/>
                <w:b/>
                <w:sz w:val="22"/>
                <w:szCs w:val="22"/>
              </w:rPr>
              <w:t>金额（元）</w:t>
            </w:r>
          </w:p>
        </w:tc>
        <w:tc>
          <w:tcPr>
            <w:tcW w:w="930" w:type="dxa"/>
            <w:vAlign w:val="center"/>
          </w:tcPr>
          <w:p>
            <w:pPr>
              <w:jc w:val="center"/>
              <w:rPr>
                <w:b/>
                <w:sz w:val="22"/>
                <w:szCs w:val="22"/>
              </w:rPr>
            </w:pPr>
            <w:r>
              <w:rPr>
                <w:rFonts w:hint="eastAsia"/>
                <w:b/>
                <w:sz w:val="22"/>
                <w:szCs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5</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6</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7</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8</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9</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10</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11</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12</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13</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pPr>
              <w:jc w:val="center"/>
              <w:rPr>
                <w:sz w:val="22"/>
                <w:szCs w:val="22"/>
              </w:rPr>
            </w:pPr>
            <w:r>
              <w:rPr>
                <w:rFonts w:hint="eastAsia"/>
                <w:sz w:val="22"/>
                <w:szCs w:val="22"/>
              </w:rPr>
              <w:t>14</w:t>
            </w:r>
          </w:p>
        </w:tc>
        <w:tc>
          <w:tcPr>
            <w:tcW w:w="1231" w:type="dxa"/>
            <w:vAlign w:val="center"/>
          </w:tcPr>
          <w:p>
            <w:pPr>
              <w:tabs>
                <w:tab w:val="left" w:pos="1418"/>
              </w:tabs>
              <w:snapToGrid w:val="0"/>
              <w:spacing w:before="50" w:after="50" w:line="276" w:lineRule="auto"/>
              <w:jc w:val="center"/>
              <w:rPr>
                <w:spacing w:val="20"/>
                <w:sz w:val="22"/>
                <w:szCs w:val="22"/>
              </w:rPr>
            </w:pPr>
          </w:p>
        </w:tc>
        <w:tc>
          <w:tcPr>
            <w:tcW w:w="2934" w:type="dxa"/>
            <w:vAlign w:val="center"/>
          </w:tcPr>
          <w:p>
            <w:pPr>
              <w:tabs>
                <w:tab w:val="left" w:pos="1418"/>
              </w:tabs>
              <w:snapToGrid w:val="0"/>
              <w:spacing w:before="50" w:after="50" w:line="276" w:lineRule="auto"/>
              <w:jc w:val="center"/>
              <w:rPr>
                <w:spacing w:val="20"/>
                <w:sz w:val="22"/>
                <w:szCs w:val="22"/>
              </w:rPr>
            </w:pPr>
          </w:p>
        </w:tc>
        <w:tc>
          <w:tcPr>
            <w:tcW w:w="1815" w:type="dxa"/>
            <w:vAlign w:val="center"/>
          </w:tcPr>
          <w:p>
            <w:pPr>
              <w:rPr>
                <w:spacing w:val="20"/>
                <w:sz w:val="22"/>
                <w:szCs w:val="22"/>
              </w:rPr>
            </w:pPr>
          </w:p>
        </w:tc>
        <w:tc>
          <w:tcPr>
            <w:tcW w:w="705" w:type="dxa"/>
          </w:tcPr>
          <w:p>
            <w:pPr>
              <w:rPr>
                <w:sz w:val="22"/>
                <w:szCs w:val="22"/>
              </w:rPr>
            </w:pPr>
          </w:p>
        </w:tc>
        <w:tc>
          <w:tcPr>
            <w:tcW w:w="1110" w:type="dxa"/>
            <w:vAlign w:val="center"/>
          </w:tcPr>
          <w:p>
            <w:pPr>
              <w:tabs>
                <w:tab w:val="left" w:pos="1418"/>
              </w:tabs>
              <w:snapToGrid w:val="0"/>
              <w:spacing w:before="50" w:after="50" w:line="276" w:lineRule="auto"/>
              <w:jc w:val="center"/>
              <w:rPr>
                <w:sz w:val="22"/>
                <w:szCs w:val="22"/>
              </w:rPr>
            </w:pPr>
          </w:p>
        </w:tc>
        <w:tc>
          <w:tcPr>
            <w:tcW w:w="930" w:type="dxa"/>
          </w:tcPr>
          <w:p>
            <w:pPr>
              <w:rPr>
                <w:sz w:val="22"/>
                <w:szCs w:val="22"/>
              </w:rPr>
            </w:pPr>
          </w:p>
        </w:tc>
      </w:tr>
    </w:tbl>
    <w:p>
      <w:pPr>
        <w:pStyle w:val="4"/>
        <w:rPr>
          <w:sz w:val="20"/>
        </w:rPr>
      </w:pPr>
    </w:p>
    <w:p>
      <w:pPr>
        <w:widowControl/>
        <w:jc w:val="left"/>
        <w:rPr>
          <w:rFonts w:ascii="宋体" w:hAnsi="宋体" w:eastAsia="宋体" w:cs="宋体"/>
          <w:kern w:val="0"/>
          <w:sz w:val="20"/>
          <w:szCs w:val="17"/>
          <w:lang w:val="zh-CN" w:bidi="zh-CN"/>
        </w:rPr>
      </w:pPr>
      <w:r>
        <w:rPr>
          <w:sz w:val="20"/>
        </w:rPr>
        <w:br w:type="page"/>
      </w:r>
    </w:p>
    <w:p>
      <w:pPr>
        <w:spacing w:line="440" w:lineRule="exact"/>
        <w:jc w:val="center"/>
        <w:rPr>
          <w:rFonts w:ascii="Calibri" w:hAnsi="Calibri" w:eastAsia="宋体" w:cs="Times New Roman"/>
          <w:b/>
          <w:sz w:val="28"/>
          <w:szCs w:val="28"/>
        </w:rPr>
      </w:pPr>
      <w:r>
        <w:rPr>
          <w:rFonts w:ascii="Calibri" w:hAnsi="Calibri" w:eastAsia="宋体" w:cs="Times New Roman"/>
          <w:b/>
          <w:sz w:val="28"/>
          <w:szCs w:val="28"/>
        </w:rPr>
        <w:t>廉洁购销合同</w:t>
      </w:r>
    </w:p>
    <w:p>
      <w:pPr>
        <w:spacing w:line="440" w:lineRule="exact"/>
        <w:rPr>
          <w:rFonts w:ascii="Calibri" w:hAnsi="Calibri" w:eastAsia="宋体" w:cs="Times New Roman"/>
          <w:bCs/>
          <w:sz w:val="22"/>
          <w:szCs w:val="22"/>
        </w:rPr>
      </w:pPr>
      <w:r>
        <w:rPr>
          <w:rFonts w:ascii="Calibri" w:hAnsi="Calibri" w:eastAsia="宋体" w:cs="Times New Roman"/>
          <w:sz w:val="22"/>
          <w:szCs w:val="22"/>
        </w:rPr>
        <w:t>甲方</w:t>
      </w:r>
      <w:r>
        <w:rPr>
          <w:rFonts w:ascii="Calibri" w:hAnsi="Calibri" w:eastAsia="宋体" w:cs="Times New Roman"/>
          <w:bCs/>
          <w:sz w:val="22"/>
          <w:szCs w:val="22"/>
        </w:rPr>
        <w:t>：</w:t>
      </w:r>
      <w:r>
        <w:rPr>
          <w:rFonts w:hint="eastAsia" w:ascii="Calibri" w:hAnsi="Calibri" w:eastAsia="宋体" w:cs="Times New Roman"/>
          <w:bCs/>
          <w:sz w:val="22"/>
          <w:szCs w:val="22"/>
        </w:rPr>
        <w:t>温州市中医院</w:t>
      </w:r>
    </w:p>
    <w:p>
      <w:pPr>
        <w:spacing w:line="440" w:lineRule="exact"/>
        <w:rPr>
          <w:rFonts w:hint="eastAsia" w:ascii="Calibri" w:hAnsi="Calibri" w:eastAsia="宋体" w:cs="Times New Roman"/>
          <w:bCs/>
          <w:sz w:val="22"/>
          <w:szCs w:val="22"/>
        </w:rPr>
      </w:pPr>
      <w:r>
        <w:rPr>
          <w:rFonts w:ascii="Calibri" w:hAnsi="Calibri" w:eastAsia="宋体" w:cs="Times New Roman"/>
          <w:sz w:val="22"/>
          <w:szCs w:val="22"/>
        </w:rPr>
        <w:t>乙方</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为进一步加强医疗卫生行风建设，规范医疗卫生机构</w:t>
      </w:r>
      <w:r>
        <w:rPr>
          <w:rFonts w:hint="eastAsia" w:ascii="Calibri" w:hAnsi="Calibri" w:eastAsia="宋体" w:cs="Times New Roman"/>
          <w:bCs/>
          <w:sz w:val="22"/>
          <w:szCs w:val="22"/>
        </w:rPr>
        <w:t>各类</w:t>
      </w:r>
      <w:r>
        <w:rPr>
          <w:rFonts w:ascii="Calibri" w:hAnsi="Calibri" w:eastAsia="宋体" w:cs="Times New Roman"/>
          <w:bCs/>
          <w:sz w:val="22"/>
          <w:szCs w:val="22"/>
        </w:rPr>
        <w:t>购销行为，有效防范商业贿赂行为，营造公平交易、诚实守信的</w:t>
      </w:r>
      <w:r>
        <w:rPr>
          <w:rFonts w:hint="eastAsia" w:ascii="Calibri" w:hAnsi="Calibri" w:eastAsia="宋体" w:cs="Times New Roman"/>
          <w:bCs/>
          <w:sz w:val="22"/>
          <w:szCs w:val="22"/>
        </w:rPr>
        <w:t>“清廉医院”</w:t>
      </w:r>
      <w:r>
        <w:rPr>
          <w:rFonts w:ascii="Calibri" w:hAnsi="Calibri" w:eastAsia="宋体" w:cs="Times New Roman"/>
          <w:bCs/>
          <w:sz w:val="22"/>
          <w:szCs w:val="22"/>
        </w:rPr>
        <w:t>购销环境，经甲、乙双方协商，同意签订本合同，并共同遵守：</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一、甲乙双方按照《</w:t>
      </w:r>
      <w:r>
        <w:rPr>
          <w:rFonts w:hint="eastAsia" w:ascii="Calibri" w:hAnsi="Calibri" w:eastAsia="宋体" w:cs="Times New Roman"/>
          <w:bCs/>
          <w:sz w:val="22"/>
          <w:szCs w:val="22"/>
        </w:rPr>
        <w:t>民法典</w:t>
      </w:r>
      <w:r>
        <w:rPr>
          <w:rFonts w:ascii="Calibri" w:hAnsi="Calibri" w:eastAsia="宋体" w:cs="Times New Roman"/>
          <w:bCs/>
          <w:sz w:val="22"/>
          <w:szCs w:val="22"/>
        </w:rPr>
        <w:t>》</w:t>
      </w:r>
      <w:r>
        <w:rPr>
          <w:rFonts w:hint="eastAsia" w:ascii="Calibri" w:hAnsi="Calibri" w:eastAsia="宋体" w:cs="Times New Roman"/>
          <w:bCs/>
          <w:sz w:val="22"/>
          <w:szCs w:val="22"/>
        </w:rPr>
        <w:t>等相关法规要求，约定</w:t>
      </w:r>
      <w:r>
        <w:rPr>
          <w:rFonts w:ascii="Calibri" w:hAnsi="Calibri" w:eastAsia="宋体" w:cs="Times New Roman"/>
          <w:bCs/>
          <w:sz w:val="22"/>
          <w:szCs w:val="22"/>
        </w:rPr>
        <w:t>购销</w:t>
      </w:r>
      <w:r>
        <w:rPr>
          <w:rFonts w:hint="eastAsia" w:ascii="Calibri" w:hAnsi="Calibri" w:eastAsia="宋体" w:cs="Times New Roman"/>
          <w:bCs/>
          <w:sz w:val="22"/>
          <w:szCs w:val="22"/>
        </w:rPr>
        <w:t>包括但不限于</w:t>
      </w:r>
      <w:r>
        <w:rPr>
          <w:rFonts w:ascii="Calibri" w:hAnsi="Calibri" w:eastAsia="宋体" w:cs="Times New Roman"/>
          <w:bCs/>
          <w:sz w:val="22"/>
          <w:szCs w:val="22"/>
        </w:rPr>
        <w:t>药品、设备、耗材</w:t>
      </w:r>
      <w:r>
        <w:rPr>
          <w:rFonts w:hint="eastAsia" w:ascii="Calibri" w:hAnsi="Calibri" w:eastAsia="宋体" w:cs="Times New Roman"/>
          <w:bCs/>
          <w:sz w:val="22"/>
          <w:szCs w:val="22"/>
        </w:rPr>
        <w:t>、维保</w:t>
      </w:r>
      <w:r>
        <w:rPr>
          <w:rFonts w:ascii="Calibri" w:hAnsi="Calibri" w:eastAsia="宋体" w:cs="Times New Roman"/>
          <w:bCs/>
          <w:sz w:val="22"/>
          <w:szCs w:val="22"/>
        </w:rPr>
        <w:t>等</w:t>
      </w:r>
      <w:r>
        <w:rPr>
          <w:rFonts w:hint="eastAsia" w:ascii="Calibri" w:hAnsi="Calibri" w:eastAsia="宋体" w:cs="Times New Roman"/>
          <w:bCs/>
          <w:sz w:val="22"/>
          <w:szCs w:val="22"/>
        </w:rPr>
        <w:t>货物或服务</w:t>
      </w:r>
      <w:r>
        <w:rPr>
          <w:rFonts w:ascii="Calibri" w:hAnsi="Calibri" w:eastAsia="宋体" w:cs="Times New Roman"/>
          <w:bCs/>
          <w:sz w:val="22"/>
          <w:szCs w:val="22"/>
        </w:rPr>
        <w:t>。</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二、甲方应当严格执行合同验收、入库制度，对采购产品及发票进行查验，不得违反有关规定合同外采购、违价采购或从非规定渠道采购。</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四、严禁甲方工作人员利用任何途径和方式，为乙方统计医师个人及临床科室有关医药产品用量信息，或为乙方统计提供便利。</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五、乙方不得以回扣、宴请等方式影响甲方工作人员采购</w:t>
      </w:r>
      <w:r>
        <w:rPr>
          <w:rFonts w:hint="eastAsia" w:ascii="Calibri" w:hAnsi="Calibri" w:eastAsia="宋体" w:cs="Times New Roman"/>
          <w:bCs/>
          <w:sz w:val="22"/>
          <w:szCs w:val="22"/>
        </w:rPr>
        <w:t>或使用</w:t>
      </w:r>
      <w:r>
        <w:rPr>
          <w:rFonts w:ascii="Calibri" w:hAnsi="Calibri" w:eastAsia="宋体" w:cs="Times New Roman"/>
          <w:bCs/>
          <w:sz w:val="22"/>
          <w:szCs w:val="22"/>
        </w:rPr>
        <w:t>产品的选择权，不得在学术活动中提供旅游、超标准支付食宿费用。</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六、乙方指定</w:t>
      </w:r>
      <w:r>
        <w:rPr>
          <w:rFonts w:ascii="Calibri" w:hAnsi="Calibri" w:eastAsia="宋体" w:cs="Times New Roman"/>
          <w:bCs/>
          <w:sz w:val="22"/>
          <w:szCs w:val="22"/>
          <w:u w:val="single"/>
        </w:rPr>
        <w:t xml:space="preserve">                        </w:t>
      </w:r>
      <w:r>
        <w:rPr>
          <w:rFonts w:ascii="Calibri" w:hAnsi="Calibri" w:eastAsia="宋体" w:cs="Times New Roman"/>
          <w:bCs/>
          <w:sz w:val="22"/>
          <w:szCs w:val="22"/>
        </w:rPr>
        <w:t>作为销售代表洽谈业务。销售代表必须在工作时间到甲方指定地点联系商谈，不得到住院部、门诊部、医技科室等推销产品，不得借故到甲方相关领导、部门负责人及相关工作人员家中访谈并提供任何好处费。</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Calibri" w:hAnsi="Calibri" w:eastAsia="宋体" w:cs="Times New Roman"/>
          <w:bCs/>
          <w:sz w:val="22"/>
          <w:szCs w:val="22"/>
          <w:shd w:val="clear" w:color="auto" w:fill="FFFFFF"/>
        </w:rPr>
        <w:t>（国卫法制发〔2013〕50号）</w:t>
      </w:r>
      <w:r>
        <w:rPr>
          <w:rFonts w:hint="eastAsia" w:ascii="Calibri" w:hAnsi="Calibri" w:eastAsia="宋体" w:cs="Times New Roman"/>
          <w:bCs/>
          <w:sz w:val="22"/>
          <w:szCs w:val="22"/>
          <w:shd w:val="clear" w:color="auto" w:fill="FFFFFF"/>
        </w:rPr>
        <w:t>及《关于印发医疗机构工作人员廉洁从业九项准则的通知》（国卫医发〔2021〕37号）</w:t>
      </w:r>
      <w:r>
        <w:rPr>
          <w:rFonts w:ascii="Calibri" w:hAnsi="Calibri" w:eastAsia="宋体" w:cs="Times New Roman"/>
          <w:bCs/>
          <w:sz w:val="22"/>
          <w:szCs w:val="22"/>
        </w:rPr>
        <w:t>相关规定处理。</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八、本合同作为购销合同的重要组成部分，与购销合同一并执行，具有同等的法律效力。</w:t>
      </w:r>
    </w:p>
    <w:p>
      <w:pPr>
        <w:spacing w:line="440" w:lineRule="exact"/>
        <w:ind w:firstLine="440" w:firstLineChars="200"/>
        <w:rPr>
          <w:rFonts w:ascii="Calibri" w:hAnsi="Calibri" w:eastAsia="宋体" w:cs="Times New Roman"/>
          <w:bCs/>
          <w:sz w:val="22"/>
          <w:szCs w:val="22"/>
        </w:rPr>
      </w:pPr>
      <w:r>
        <w:rPr>
          <w:rFonts w:ascii="Calibri" w:hAnsi="Calibri" w:eastAsia="宋体" w:cs="Times New Roman"/>
          <w:bCs/>
          <w:sz w:val="22"/>
          <w:szCs w:val="22"/>
        </w:rPr>
        <w:t>九、本合同一式</w:t>
      </w:r>
      <w:r>
        <w:rPr>
          <w:rFonts w:hint="eastAsia" w:ascii="Calibri" w:hAnsi="Calibri" w:eastAsia="宋体" w:cs="Times New Roman"/>
          <w:bCs/>
          <w:sz w:val="22"/>
          <w:szCs w:val="22"/>
          <w:lang w:val="en-US" w:eastAsia="zh-CN"/>
        </w:rPr>
        <w:t>二</w:t>
      </w:r>
      <w:r>
        <w:rPr>
          <w:rFonts w:ascii="Calibri" w:hAnsi="Calibri" w:eastAsia="宋体" w:cs="Times New Roman"/>
          <w:bCs/>
          <w:sz w:val="22"/>
          <w:szCs w:val="22"/>
        </w:rPr>
        <w:t>份，甲、乙双方各执一份，并从签订之日起生效。</w:t>
      </w:r>
    </w:p>
    <w:p>
      <w:pPr>
        <w:spacing w:line="440" w:lineRule="exact"/>
        <w:rPr>
          <w:rFonts w:ascii="Calibri" w:hAnsi="Calibri" w:eastAsia="宋体" w:cs="Times New Roman"/>
          <w:bCs/>
          <w:sz w:val="22"/>
          <w:szCs w:val="22"/>
        </w:rPr>
      </w:pP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甲方（盖章）：                     </w:t>
      </w:r>
      <w:r>
        <w:rPr>
          <w:rFonts w:hint="eastAsia" w:ascii="Calibri" w:hAnsi="Calibri" w:eastAsia="宋体" w:cs="Times New Roman"/>
          <w:bCs/>
          <w:sz w:val="22"/>
          <w:szCs w:val="22"/>
        </w:rPr>
        <w:t xml:space="preserve">       </w:t>
      </w:r>
      <w:r>
        <w:rPr>
          <w:rFonts w:ascii="Calibri" w:hAnsi="Calibri" w:eastAsia="宋体" w:cs="Times New Roman"/>
          <w:bCs/>
          <w:sz w:val="22"/>
          <w:szCs w:val="22"/>
        </w:rPr>
        <w:t>乙方（盖章）：</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法定代表人（负责人）：             </w:t>
      </w:r>
      <w:r>
        <w:rPr>
          <w:rFonts w:hint="eastAsia" w:ascii="Calibri" w:hAnsi="Calibri" w:eastAsia="宋体" w:cs="Times New Roman"/>
          <w:bCs/>
          <w:sz w:val="22"/>
          <w:szCs w:val="22"/>
        </w:rPr>
        <w:t xml:space="preserve">       </w:t>
      </w:r>
      <w:r>
        <w:rPr>
          <w:rFonts w:ascii="Calibri" w:hAnsi="Calibri" w:eastAsia="宋体" w:cs="Times New Roman"/>
          <w:bCs/>
          <w:sz w:val="22"/>
          <w:szCs w:val="22"/>
        </w:rPr>
        <w:t>法定代表人（负责人）：</w:t>
      </w:r>
    </w:p>
    <w:p>
      <w:pPr>
        <w:spacing w:line="440" w:lineRule="exact"/>
        <w:rPr>
          <w:rFonts w:ascii="Calibri" w:hAnsi="Calibri" w:eastAsia="宋体" w:cs="Times New Roman"/>
          <w:bCs/>
          <w:sz w:val="22"/>
          <w:szCs w:val="22"/>
        </w:rPr>
      </w:pPr>
      <w:r>
        <w:rPr>
          <w:rFonts w:ascii="Calibri" w:hAnsi="Calibri" w:eastAsia="宋体" w:cs="Times New Roman"/>
          <w:bCs/>
          <w:sz w:val="22"/>
          <w:szCs w:val="22"/>
        </w:rPr>
        <w:t xml:space="preserve">经办人签名：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经办人签名：</w:t>
      </w:r>
    </w:p>
    <w:p>
      <w:pPr>
        <w:spacing w:line="440" w:lineRule="exact"/>
        <w:ind w:firstLine="550" w:firstLineChars="250"/>
        <w:rPr>
          <w:rFonts w:ascii="Calibri" w:hAnsi="Calibri" w:eastAsia="宋体" w:cs="Times New Roman"/>
          <w:sz w:val="18"/>
          <w:szCs w:val="24"/>
        </w:rPr>
      </w:pPr>
      <w:r>
        <w:rPr>
          <w:rFonts w:ascii="Calibri" w:hAnsi="Calibri" w:eastAsia="宋体" w:cs="Times New Roman"/>
          <w:bCs/>
          <w:sz w:val="22"/>
          <w:szCs w:val="22"/>
        </w:rPr>
        <w:t xml:space="preserve">年   月   日                      </w:t>
      </w:r>
      <w:r>
        <w:rPr>
          <w:rFonts w:hint="eastAsia" w:ascii="Calibri" w:hAnsi="Calibri" w:eastAsia="宋体" w:cs="Times New Roman"/>
          <w:bCs/>
          <w:sz w:val="22"/>
          <w:szCs w:val="22"/>
        </w:rPr>
        <w:t xml:space="preserve">       </w:t>
      </w:r>
      <w:r>
        <w:rPr>
          <w:rFonts w:ascii="Calibri" w:hAnsi="Calibri" w:eastAsia="宋体" w:cs="Times New Roman"/>
          <w:bCs/>
          <w:sz w:val="22"/>
          <w:szCs w:val="22"/>
        </w:rPr>
        <w:t xml:space="preserve"> 年   月  日</w:t>
      </w:r>
    </w:p>
    <w:p>
      <w:pPr>
        <w:jc w:val="center"/>
        <w:rPr>
          <w:rFonts w:asciiTheme="minorEastAsia" w:hAnsiTheme="minorEastAsia"/>
          <w:sz w:val="20"/>
          <w:szCs w:val="17"/>
        </w:rPr>
      </w:pPr>
    </w:p>
    <w:p>
      <w:pPr>
        <w:numPr>
          <w:ilvl w:val="0"/>
          <w:numId w:val="0"/>
        </w:numPr>
        <w:jc w:val="left"/>
        <w:rPr>
          <w:rFonts w:hint="default"/>
          <w:b/>
          <w:bCs/>
          <w:sz w:val="24"/>
          <w:lang w:val="en-US" w:eastAsia="zh-CN"/>
        </w:rPr>
      </w:pPr>
    </w:p>
    <w:sectPr>
      <w:pgSz w:w="11906" w:h="16838"/>
      <w:pgMar w:top="850" w:right="1417" w:bottom="85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Century Gothic">
    <w:altName w:val="Century"/>
    <w:panose1 w:val="020B0502020202020204"/>
    <w:charset w:val="00"/>
    <w:family w:val="swiss"/>
    <w:pitch w:val="default"/>
    <w:sig w:usb0="00000000"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entury">
    <w:panose1 w:val="020406040505050203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BAE1D"/>
    <w:multiLevelType w:val="singleLevel"/>
    <w:tmpl w:val="11BBAE1D"/>
    <w:lvl w:ilvl="0" w:tentative="0">
      <w:start w:val="1"/>
      <w:numFmt w:val="chineseCounting"/>
      <w:suff w:val="nothing"/>
      <w:lvlText w:val="%1、"/>
      <w:lvlJc w:val="left"/>
      <w:rPr>
        <w:rFonts w:hint="eastAsia"/>
      </w:rPr>
    </w:lvl>
  </w:abstractNum>
  <w:abstractNum w:abstractNumId="1">
    <w:nsid w:val="1CFCF95C"/>
    <w:multiLevelType w:val="singleLevel"/>
    <w:tmpl w:val="1CFCF95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MTM1ODcxZjQ3NGE4ODE2Njg0ODFkZTMzOWI0ZjUifQ=="/>
  </w:docVars>
  <w:rsids>
    <w:rsidRoot w:val="00733DD2"/>
    <w:rsid w:val="00026A1F"/>
    <w:rsid w:val="00061188"/>
    <w:rsid w:val="000A2FEB"/>
    <w:rsid w:val="000A5F9B"/>
    <w:rsid w:val="000B2223"/>
    <w:rsid w:val="00154B8C"/>
    <w:rsid w:val="001E31F7"/>
    <w:rsid w:val="0025720F"/>
    <w:rsid w:val="0027418F"/>
    <w:rsid w:val="002902FC"/>
    <w:rsid w:val="002F0826"/>
    <w:rsid w:val="00326C0F"/>
    <w:rsid w:val="003F3199"/>
    <w:rsid w:val="004131B4"/>
    <w:rsid w:val="00420CA3"/>
    <w:rsid w:val="00497393"/>
    <w:rsid w:val="004C713C"/>
    <w:rsid w:val="004E5E1A"/>
    <w:rsid w:val="004E7AFD"/>
    <w:rsid w:val="005147EF"/>
    <w:rsid w:val="005D37B9"/>
    <w:rsid w:val="005E2841"/>
    <w:rsid w:val="00602621"/>
    <w:rsid w:val="00612734"/>
    <w:rsid w:val="00671D4A"/>
    <w:rsid w:val="006A088D"/>
    <w:rsid w:val="00733DD2"/>
    <w:rsid w:val="007F05EF"/>
    <w:rsid w:val="0082310E"/>
    <w:rsid w:val="00855630"/>
    <w:rsid w:val="00863B91"/>
    <w:rsid w:val="008C37D0"/>
    <w:rsid w:val="008E4249"/>
    <w:rsid w:val="0093051F"/>
    <w:rsid w:val="00952609"/>
    <w:rsid w:val="009C1FBF"/>
    <w:rsid w:val="009E136B"/>
    <w:rsid w:val="009E4BCC"/>
    <w:rsid w:val="00A76C33"/>
    <w:rsid w:val="00A808E4"/>
    <w:rsid w:val="00A80B4E"/>
    <w:rsid w:val="00A93480"/>
    <w:rsid w:val="00B4172A"/>
    <w:rsid w:val="00BC00EB"/>
    <w:rsid w:val="00BF3469"/>
    <w:rsid w:val="00C969CF"/>
    <w:rsid w:val="00D06A7D"/>
    <w:rsid w:val="00D4297B"/>
    <w:rsid w:val="00D873FD"/>
    <w:rsid w:val="00D9066A"/>
    <w:rsid w:val="00DD12A9"/>
    <w:rsid w:val="00DE7ADB"/>
    <w:rsid w:val="00E51899"/>
    <w:rsid w:val="00EF7182"/>
    <w:rsid w:val="00F01072"/>
    <w:rsid w:val="00F26748"/>
    <w:rsid w:val="01E94947"/>
    <w:rsid w:val="02B15ED7"/>
    <w:rsid w:val="032B7EBE"/>
    <w:rsid w:val="037761DC"/>
    <w:rsid w:val="037819C8"/>
    <w:rsid w:val="04165086"/>
    <w:rsid w:val="07827398"/>
    <w:rsid w:val="079468F0"/>
    <w:rsid w:val="088815A9"/>
    <w:rsid w:val="0A277157"/>
    <w:rsid w:val="0A323667"/>
    <w:rsid w:val="0A964758"/>
    <w:rsid w:val="0B691EBF"/>
    <w:rsid w:val="0BDB7828"/>
    <w:rsid w:val="0D3C3F90"/>
    <w:rsid w:val="0D6B27A0"/>
    <w:rsid w:val="0D737863"/>
    <w:rsid w:val="0F9D510C"/>
    <w:rsid w:val="10827943"/>
    <w:rsid w:val="109B7C74"/>
    <w:rsid w:val="11D15B1C"/>
    <w:rsid w:val="11D56F8A"/>
    <w:rsid w:val="121B2501"/>
    <w:rsid w:val="12531874"/>
    <w:rsid w:val="129A029D"/>
    <w:rsid w:val="12C9410A"/>
    <w:rsid w:val="136E04B8"/>
    <w:rsid w:val="14C02644"/>
    <w:rsid w:val="157B401A"/>
    <w:rsid w:val="165B3C1A"/>
    <w:rsid w:val="17453125"/>
    <w:rsid w:val="182217CF"/>
    <w:rsid w:val="184F31D7"/>
    <w:rsid w:val="19915A12"/>
    <w:rsid w:val="1A2E6DE6"/>
    <w:rsid w:val="1D3D49CA"/>
    <w:rsid w:val="1D4821A9"/>
    <w:rsid w:val="202B56B1"/>
    <w:rsid w:val="22723315"/>
    <w:rsid w:val="22CF7097"/>
    <w:rsid w:val="232E51F6"/>
    <w:rsid w:val="23705E06"/>
    <w:rsid w:val="23884864"/>
    <w:rsid w:val="24C52651"/>
    <w:rsid w:val="27E45486"/>
    <w:rsid w:val="28DD687E"/>
    <w:rsid w:val="2B057E38"/>
    <w:rsid w:val="2BA52826"/>
    <w:rsid w:val="2D7F5632"/>
    <w:rsid w:val="2E46068D"/>
    <w:rsid w:val="2EB05F76"/>
    <w:rsid w:val="2F3C6CF1"/>
    <w:rsid w:val="2FBD42B3"/>
    <w:rsid w:val="30D412A1"/>
    <w:rsid w:val="30E84F1F"/>
    <w:rsid w:val="316641F0"/>
    <w:rsid w:val="31BF6098"/>
    <w:rsid w:val="31F8416E"/>
    <w:rsid w:val="320E68FB"/>
    <w:rsid w:val="32CE7A3F"/>
    <w:rsid w:val="33951D5C"/>
    <w:rsid w:val="34117E05"/>
    <w:rsid w:val="351B0D6F"/>
    <w:rsid w:val="351B624E"/>
    <w:rsid w:val="35633FD8"/>
    <w:rsid w:val="36AA02C8"/>
    <w:rsid w:val="37C66C9B"/>
    <w:rsid w:val="37D14649"/>
    <w:rsid w:val="37ED55D1"/>
    <w:rsid w:val="3877509F"/>
    <w:rsid w:val="397306B8"/>
    <w:rsid w:val="39BD6D12"/>
    <w:rsid w:val="3BB420F5"/>
    <w:rsid w:val="3DB75172"/>
    <w:rsid w:val="3E9950E6"/>
    <w:rsid w:val="3F1B3C4A"/>
    <w:rsid w:val="402E62DF"/>
    <w:rsid w:val="402F4957"/>
    <w:rsid w:val="405108FA"/>
    <w:rsid w:val="40751336"/>
    <w:rsid w:val="4136403A"/>
    <w:rsid w:val="41EF774F"/>
    <w:rsid w:val="42660058"/>
    <w:rsid w:val="43824C1A"/>
    <w:rsid w:val="43A157C9"/>
    <w:rsid w:val="44195BDC"/>
    <w:rsid w:val="447334B4"/>
    <w:rsid w:val="449C5243"/>
    <w:rsid w:val="449E2D2B"/>
    <w:rsid w:val="458A740C"/>
    <w:rsid w:val="46094A05"/>
    <w:rsid w:val="460A3EB2"/>
    <w:rsid w:val="46A165C4"/>
    <w:rsid w:val="47537CEB"/>
    <w:rsid w:val="477517FF"/>
    <w:rsid w:val="479F5F87"/>
    <w:rsid w:val="497E50E4"/>
    <w:rsid w:val="49CC2349"/>
    <w:rsid w:val="4A254910"/>
    <w:rsid w:val="4AA864D5"/>
    <w:rsid w:val="4B956476"/>
    <w:rsid w:val="4CBE1552"/>
    <w:rsid w:val="4D3D3121"/>
    <w:rsid w:val="4DCB17F7"/>
    <w:rsid w:val="4ED83989"/>
    <w:rsid w:val="5105209D"/>
    <w:rsid w:val="5273518F"/>
    <w:rsid w:val="529E0326"/>
    <w:rsid w:val="53423D16"/>
    <w:rsid w:val="534B0A6F"/>
    <w:rsid w:val="539D45B7"/>
    <w:rsid w:val="53CA557A"/>
    <w:rsid w:val="545A32FC"/>
    <w:rsid w:val="547D6E0D"/>
    <w:rsid w:val="55382DBA"/>
    <w:rsid w:val="55596194"/>
    <w:rsid w:val="557B0928"/>
    <w:rsid w:val="55950B3F"/>
    <w:rsid w:val="56A54B82"/>
    <w:rsid w:val="57784E8F"/>
    <w:rsid w:val="584110E8"/>
    <w:rsid w:val="587C329C"/>
    <w:rsid w:val="595B205E"/>
    <w:rsid w:val="5A4777C5"/>
    <w:rsid w:val="5A6E001E"/>
    <w:rsid w:val="5AE71C9E"/>
    <w:rsid w:val="5CAD7C22"/>
    <w:rsid w:val="5CD36D91"/>
    <w:rsid w:val="5DEC7787"/>
    <w:rsid w:val="5DFE7766"/>
    <w:rsid w:val="60D904D8"/>
    <w:rsid w:val="60F93F09"/>
    <w:rsid w:val="61EE2A98"/>
    <w:rsid w:val="646461A1"/>
    <w:rsid w:val="651E6BDA"/>
    <w:rsid w:val="65D31C24"/>
    <w:rsid w:val="6634293C"/>
    <w:rsid w:val="669F4579"/>
    <w:rsid w:val="677A2F96"/>
    <w:rsid w:val="680678AC"/>
    <w:rsid w:val="683E0693"/>
    <w:rsid w:val="685E7C65"/>
    <w:rsid w:val="68AB5C34"/>
    <w:rsid w:val="694279A9"/>
    <w:rsid w:val="698F00A6"/>
    <w:rsid w:val="6A670A41"/>
    <w:rsid w:val="6A800692"/>
    <w:rsid w:val="6AA92F34"/>
    <w:rsid w:val="6BAC3EA4"/>
    <w:rsid w:val="6BF3478F"/>
    <w:rsid w:val="6D370E4B"/>
    <w:rsid w:val="6DE10695"/>
    <w:rsid w:val="6E0B49D4"/>
    <w:rsid w:val="6E6658CD"/>
    <w:rsid w:val="6E7E61B3"/>
    <w:rsid w:val="6F1A55B9"/>
    <w:rsid w:val="6F9841D5"/>
    <w:rsid w:val="703D5F78"/>
    <w:rsid w:val="711B411C"/>
    <w:rsid w:val="73645C00"/>
    <w:rsid w:val="7392213F"/>
    <w:rsid w:val="739F5CC0"/>
    <w:rsid w:val="73F75A9D"/>
    <w:rsid w:val="748F3673"/>
    <w:rsid w:val="755C54CB"/>
    <w:rsid w:val="762B73A9"/>
    <w:rsid w:val="772F4719"/>
    <w:rsid w:val="773504DF"/>
    <w:rsid w:val="77FD6A1D"/>
    <w:rsid w:val="78667688"/>
    <w:rsid w:val="79492020"/>
    <w:rsid w:val="79B62264"/>
    <w:rsid w:val="7A192AA7"/>
    <w:rsid w:val="7B395E66"/>
    <w:rsid w:val="7C0B3B0A"/>
    <w:rsid w:val="7C4831AB"/>
    <w:rsid w:val="7CA6287C"/>
    <w:rsid w:val="7DF15FE5"/>
    <w:rsid w:val="7E4702F4"/>
    <w:rsid w:val="7E677C6B"/>
    <w:rsid w:val="7FD7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1"/>
    <w:pPr>
      <w:autoSpaceDE w:val="0"/>
      <w:autoSpaceDN w:val="0"/>
      <w:spacing w:before="106"/>
      <w:ind w:left="105"/>
      <w:jc w:val="left"/>
      <w:outlineLvl w:val="1"/>
    </w:pPr>
    <w:rPr>
      <w:rFonts w:ascii="宋体" w:hAnsi="宋体" w:eastAsia="宋体" w:cs="宋体"/>
      <w:b/>
      <w:bCs/>
      <w:kern w:val="0"/>
      <w:sz w:val="17"/>
      <w:szCs w:val="17"/>
      <w:lang w:val="zh-CN" w:bidi="zh-CN"/>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autoSpaceDE w:val="0"/>
      <w:autoSpaceDN w:val="0"/>
      <w:jc w:val="left"/>
    </w:pPr>
    <w:rPr>
      <w:rFonts w:ascii="宋体" w:hAnsi="宋体" w:eastAsia="宋体" w:cs="宋体"/>
      <w:kern w:val="0"/>
      <w:sz w:val="17"/>
      <w:szCs w:val="17"/>
      <w:lang w:val="zh-CN" w:bidi="zh-CN"/>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10">
    <w:name w:val="Body Text First Indent"/>
    <w:basedOn w:val="1"/>
    <w:autoRedefine/>
    <w:qFormat/>
    <w:uiPriority w:val="0"/>
    <w:pPr>
      <w:ind w:firstLine="420"/>
    </w:pPr>
    <w:rPr>
      <w:rFonts w:ascii="Calibri" w:hAnsi="Calibri" w:eastAsia="宋体" w:cs="Times New Roman"/>
    </w:rPr>
  </w:style>
  <w:style w:type="table" w:styleId="12">
    <w:name w:val="Table Grid"/>
    <w:basedOn w:val="11"/>
    <w:autoRedefine/>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22"/>
    <w:rPr>
      <w:b/>
    </w:rPr>
  </w:style>
  <w:style w:type="character" w:styleId="15">
    <w:name w:val="Emphasis"/>
    <w:autoRedefine/>
    <w:qFormat/>
    <w:uiPriority w:val="20"/>
    <w:rPr>
      <w:i/>
      <w:iCs/>
    </w:rPr>
  </w:style>
  <w:style w:type="character" w:styleId="16">
    <w:name w:val="Hyperlink"/>
    <w:basedOn w:val="13"/>
    <w:autoRedefine/>
    <w:qFormat/>
    <w:uiPriority w:val="0"/>
    <w:rPr>
      <w:color w:val="0000FF"/>
      <w:u w:val="single"/>
    </w:rPr>
  </w:style>
  <w:style w:type="character" w:customStyle="1" w:styleId="17">
    <w:name w:val="页眉 Char"/>
    <w:basedOn w:val="13"/>
    <w:link w:val="7"/>
    <w:autoRedefine/>
    <w:qFormat/>
    <w:uiPriority w:val="99"/>
    <w:rPr>
      <w:sz w:val="18"/>
      <w:szCs w:val="18"/>
    </w:rPr>
  </w:style>
  <w:style w:type="character" w:customStyle="1" w:styleId="18">
    <w:name w:val="页脚 Char"/>
    <w:basedOn w:val="13"/>
    <w:link w:val="6"/>
    <w:autoRedefine/>
    <w:qFormat/>
    <w:uiPriority w:val="99"/>
    <w:rPr>
      <w:sz w:val="18"/>
      <w:szCs w:val="18"/>
    </w:rPr>
  </w:style>
  <w:style w:type="paragraph" w:customStyle="1" w:styleId="19">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styleId="20">
    <w:name w:val="List Paragraph"/>
    <w:basedOn w:val="1"/>
    <w:autoRedefine/>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21">
    <w:name w:val="NormalCharacter"/>
    <w:autoRedefine/>
    <w:semiHidden/>
    <w:qFormat/>
    <w:uiPriority w:val="0"/>
  </w:style>
  <w:style w:type="character" w:customStyle="1" w:styleId="22">
    <w:name w:val="font31"/>
    <w:basedOn w:val="13"/>
    <w:autoRedefine/>
    <w:qFormat/>
    <w:uiPriority w:val="0"/>
    <w:rPr>
      <w:rFonts w:hint="eastAsia" w:ascii="宋体" w:hAnsi="宋体" w:eastAsia="宋体" w:cs="宋体"/>
      <w:color w:val="000000"/>
      <w:sz w:val="24"/>
      <w:szCs w:val="24"/>
      <w:u w:val="none"/>
    </w:rPr>
  </w:style>
  <w:style w:type="character" w:customStyle="1" w:styleId="23">
    <w:name w:val="font11"/>
    <w:basedOn w:val="13"/>
    <w:autoRedefine/>
    <w:qFormat/>
    <w:uiPriority w:val="0"/>
    <w:rPr>
      <w:rFonts w:hint="eastAsia" w:ascii="宋体" w:hAnsi="宋体" w:eastAsia="宋体" w:cs="宋体"/>
      <w:color w:val="000000"/>
      <w:sz w:val="24"/>
      <w:szCs w:val="24"/>
      <w:u w:val="none"/>
    </w:rPr>
  </w:style>
  <w:style w:type="character" w:customStyle="1" w:styleId="24">
    <w:name w:val="font41"/>
    <w:basedOn w:val="13"/>
    <w:autoRedefine/>
    <w:qFormat/>
    <w:uiPriority w:val="0"/>
    <w:rPr>
      <w:rFonts w:hint="eastAsia" w:ascii="宋体" w:hAnsi="宋体" w:eastAsia="宋体" w:cs="宋体"/>
      <w:b/>
      <w:bCs/>
      <w:color w:val="000000"/>
      <w:sz w:val="24"/>
      <w:szCs w:val="24"/>
      <w:u w:val="none"/>
    </w:rPr>
  </w:style>
  <w:style w:type="character" w:customStyle="1" w:styleId="25">
    <w:name w:val="Anrede1IhrZeichen"/>
    <w:autoRedefine/>
    <w:qFormat/>
    <w:uiPriority w:val="0"/>
    <w:rPr>
      <w:rFonts w:hint="default" w:ascii="Arial" w:hAnsi="Arial"/>
      <w:sz w:val="20"/>
    </w:rPr>
  </w:style>
  <w:style w:type="paragraph" w:customStyle="1" w:styleId="26">
    <w:name w:val="AbsatzTableFormat"/>
    <w:basedOn w:val="1"/>
    <w:autoRedefine/>
    <w:qFormat/>
    <w:uiPriority w:val="0"/>
    <w:pPr>
      <w:widowControl/>
      <w:jc w:val="left"/>
    </w:pPr>
    <w:rPr>
      <w:rFonts w:ascii="Arial Narrow" w:hAnsi="Arial Narrow"/>
      <w:bCs/>
      <w:kern w:val="0"/>
      <w:sz w:val="22"/>
      <w:szCs w:val="21"/>
      <w:lang w:val="de-DE"/>
    </w:rPr>
  </w:style>
  <w:style w:type="paragraph" w:customStyle="1" w:styleId="27">
    <w:name w:val="Plain Text1"/>
    <w:basedOn w:val="28"/>
    <w:autoRedefine/>
    <w:qFormat/>
    <w:uiPriority w:val="0"/>
    <w:pPr>
      <w:widowControl/>
      <w:jc w:val="left"/>
    </w:pPr>
    <w:rPr>
      <w:rFonts w:ascii="宋体" w:hAnsi="Courier New"/>
    </w:rPr>
  </w:style>
  <w:style w:type="paragraph" w:customStyle="1" w:styleId="2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9">
    <w:name w:val="正文 A"/>
    <w:autoRedefine/>
    <w:qFormat/>
    <w:uiPriority w:val="0"/>
    <w:pPr>
      <w:widowControl w:val="0"/>
      <w:jc w:val="both"/>
    </w:pPr>
    <w:rPr>
      <w:rFonts w:ascii="Century Gothic" w:hAnsi="Century Gothic"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WZSZYY.CN</Company>
  <Pages>12</Pages>
  <Words>1345</Words>
  <Characters>1408</Characters>
  <Lines>6</Lines>
  <Paragraphs>1</Paragraphs>
  <TotalTime>5</TotalTime>
  <ScaleCrop>false</ScaleCrop>
  <LinksUpToDate>false</LinksUpToDate>
  <CharactersWithSpaces>1412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2020-04-25T02:43:00Z</dcterms:created>
  <dc:creator>test</dc:creator>
  <cp:lastModifiedBy>李恩贤</cp:lastModifiedBy>
  <dcterms:modified xsi:type="dcterms:W3CDTF">2025-09-05T02:02:46Z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eyJoZGlkIjoiMjRiMzIwNTY3MTczYzNiN2UxOGJmYzAxNjg5MjZiNzQifQ==</vt:lpwstr>
  </property>
  <property fmtid="{D5CDD505-2E9C-101B-9397-08002B2CF9AE}" pid="3" name="KSOProductBuildVer">
    <vt:lpwstr>2052-12.1.0.16120</vt:lpwstr>
  </property>
  <property fmtid="{D5CDD505-2E9C-101B-9397-08002B2CF9AE}" pid="4" name="ICV">
    <vt:lpwstr>92D25A4D715C4C30A9434E35F4E6C975_13</vt:lpwstr>
  </property>
  <property fmtid="{D5CDD505-2E9C-101B-9397-08002B2CF9AE}" pid="5" name="KSOTemplateDocerSaveRecord">
    <vt:lpwstr>eyJoZGlkIjoiNmMyMTAzZGJhYmZjM2QxZDk4OTE3MDVkMTNlYTIzODgiLCJ1c2VySWQiOiIyNjc5NjA4NjEifQ==</vt:lpwstr>
  </property>
</Properties>
</file>