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6"/>
          <w:rFonts w:hint="eastAsia" w:asciiTheme="minorEastAsia" w:hAnsiTheme="minorEastAsia" w:eastAsiaTheme="minorEastAsia" w:cstheme="minorEastAsia"/>
          <w:b/>
          <w:bCs/>
          <w:sz w:val="32"/>
          <w:szCs w:val="32"/>
          <w:lang w:val="en-US" w:eastAsia="zh-CN"/>
        </w:rPr>
      </w:pPr>
      <w:r>
        <w:rPr>
          <w:rStyle w:val="16"/>
          <w:rFonts w:hint="eastAsia" w:asciiTheme="minorEastAsia" w:hAnsiTheme="minorEastAsia" w:eastAsiaTheme="minorEastAsia" w:cstheme="minorEastAsia"/>
          <w:b/>
          <w:bCs/>
          <w:sz w:val="36"/>
          <w:szCs w:val="36"/>
          <w:lang w:val="en-US" w:eastAsia="zh-CN"/>
        </w:rPr>
        <w:t>温州市中医院关于包药机维保服务项目的招标</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6"/>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商务、技术参数偏离表</w:t>
      </w:r>
    </w:p>
    <w:tbl>
      <w:tblPr>
        <w:tblStyle w:val="13"/>
        <w:tblW w:w="10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7413"/>
        <w:gridCol w:w="1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62" w:type="dxa"/>
            <w:shd w:val="clear" w:color="auto" w:fill="FFFFFF"/>
            <w:noWrap w:val="0"/>
            <w:vAlign w:val="center"/>
          </w:tcPr>
          <w:p>
            <w:pPr>
              <w:spacing w:line="360" w:lineRule="auto"/>
              <w:jc w:val="center"/>
              <w:rPr>
                <w:rFonts w:ascii="宋体" w:hAnsi="宋体"/>
                <w:szCs w:val="20"/>
              </w:rPr>
            </w:pPr>
            <w:r>
              <w:rPr>
                <w:rFonts w:hint="eastAsia" w:ascii="宋体" w:hAnsi="宋体"/>
                <w:szCs w:val="20"/>
              </w:rPr>
              <w:t>序号</w:t>
            </w:r>
          </w:p>
        </w:tc>
        <w:tc>
          <w:tcPr>
            <w:tcW w:w="7413" w:type="dxa"/>
            <w:shd w:val="clear" w:color="auto" w:fill="FFFFFF"/>
            <w:noWrap w:val="0"/>
            <w:vAlign w:val="center"/>
          </w:tcPr>
          <w:p>
            <w:pPr>
              <w:spacing w:line="360" w:lineRule="auto"/>
              <w:jc w:val="center"/>
              <w:rPr>
                <w:rFonts w:ascii="宋体" w:hAnsi="宋体"/>
                <w:szCs w:val="20"/>
              </w:rPr>
            </w:pPr>
            <w:r>
              <w:rPr>
                <w:rFonts w:hint="eastAsia" w:ascii="宋体" w:hAnsi="宋体"/>
                <w:szCs w:val="20"/>
              </w:rPr>
              <w:t>采购要求</w:t>
            </w:r>
          </w:p>
        </w:tc>
        <w:tc>
          <w:tcPr>
            <w:tcW w:w="1669" w:type="dxa"/>
            <w:shd w:val="clear" w:color="auto" w:fill="FFFFFF"/>
            <w:noWrap w:val="0"/>
            <w:vAlign w:val="center"/>
          </w:tcPr>
          <w:p>
            <w:pPr>
              <w:spacing w:line="360" w:lineRule="auto"/>
              <w:jc w:val="center"/>
              <w:rPr>
                <w:rFonts w:hint="eastAsia" w:ascii="宋体" w:hAnsi="宋体" w:eastAsiaTheme="minorEastAsia"/>
                <w:szCs w:val="20"/>
                <w:lang w:eastAsia="zh-CN"/>
              </w:rPr>
            </w:pPr>
            <w:r>
              <w:rPr>
                <w:rFonts w:hint="eastAsia" w:ascii="宋体" w:hAnsi="宋体"/>
                <w:szCs w:val="20"/>
                <w:lang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962" w:type="dxa"/>
            <w:noWrap w:val="0"/>
            <w:vAlign w:val="center"/>
          </w:tcPr>
          <w:p>
            <w:pPr>
              <w:spacing w:line="360" w:lineRule="auto"/>
              <w:jc w:val="center"/>
              <w:rPr>
                <w:rFonts w:ascii="宋体" w:hAnsi="宋体"/>
                <w:szCs w:val="20"/>
              </w:rPr>
            </w:pPr>
            <w:r>
              <w:rPr>
                <w:rFonts w:hint="eastAsia" w:ascii="宋体" w:hAnsi="宋体"/>
                <w:szCs w:val="20"/>
              </w:rPr>
              <w:t>1</w:t>
            </w:r>
          </w:p>
        </w:tc>
        <w:tc>
          <w:tcPr>
            <w:tcW w:w="7413" w:type="dxa"/>
            <w:noWrap w:val="0"/>
            <w:vAlign w:val="center"/>
          </w:tcPr>
          <w:p>
            <w:pPr>
              <w:widowControl/>
              <w:spacing w:line="324" w:lineRule="auto"/>
              <w:textAlignment w:val="center"/>
              <w:rPr>
                <w:rFonts w:hint="eastAsia" w:ascii="宋体" w:hAnsi="宋体" w:eastAsia="宋体"/>
                <w:szCs w:val="20"/>
                <w:lang w:eastAsia="zh-CN"/>
              </w:rPr>
            </w:pPr>
            <w:r>
              <w:rPr>
                <w:rFonts w:hint="eastAsia" w:ascii="宋体" w:hAnsi="宋体"/>
                <w:szCs w:val="20"/>
              </w:rPr>
              <w:t>整机</w:t>
            </w:r>
            <w:r>
              <w:rPr>
                <w:rFonts w:hint="eastAsia" w:ascii="宋体" w:hAnsi="宋体"/>
                <w:szCs w:val="20"/>
                <w:lang w:val="en-US" w:eastAsia="zh-CN"/>
              </w:rPr>
              <w:t>维</w:t>
            </w:r>
            <w:r>
              <w:rPr>
                <w:rFonts w:hint="eastAsia" w:ascii="宋体" w:hAnsi="宋体"/>
                <w:szCs w:val="20"/>
              </w:rPr>
              <w:t>保服务包含</w:t>
            </w:r>
            <w:r>
              <w:rPr>
                <w:rFonts w:hint="eastAsia" w:ascii="宋体" w:hAnsi="宋体"/>
                <w:szCs w:val="20"/>
                <w:lang w:val="en-US" w:eastAsia="zh-CN"/>
              </w:rPr>
              <w:t>人工及</w:t>
            </w:r>
            <w:r>
              <w:rPr>
                <w:rFonts w:hint="eastAsia" w:ascii="宋体" w:hAnsi="宋体"/>
                <w:szCs w:val="20"/>
              </w:rPr>
              <w:t>全部零</w:t>
            </w:r>
            <w:r>
              <w:rPr>
                <w:rFonts w:hint="eastAsia" w:ascii="宋体" w:hAnsi="宋体"/>
                <w:szCs w:val="20"/>
                <w:lang w:val="en-US" w:eastAsia="zh-CN"/>
              </w:rPr>
              <w:t>部</w:t>
            </w:r>
            <w:r>
              <w:rPr>
                <w:rFonts w:hint="eastAsia" w:ascii="宋体" w:hAnsi="宋体"/>
                <w:szCs w:val="20"/>
              </w:rPr>
              <w:t>件，</w:t>
            </w:r>
            <w:r>
              <w:rPr>
                <w:rFonts w:hint="eastAsia" w:ascii="宋体" w:hAnsi="宋体"/>
                <w:szCs w:val="20"/>
                <w:lang w:val="en-US" w:eastAsia="zh-CN"/>
              </w:rPr>
              <w:t>维保</w:t>
            </w:r>
            <w:r>
              <w:rPr>
                <w:rFonts w:hint="eastAsia" w:ascii="宋体" w:hAnsi="宋体"/>
                <w:szCs w:val="20"/>
              </w:rPr>
              <w:t>内容包括：</w:t>
            </w:r>
            <w:r>
              <w:rPr>
                <w:rFonts w:hint="eastAsia" w:ascii="宋体" w:hAnsi="宋体"/>
                <w:szCs w:val="20"/>
                <w:lang w:val="en-US" w:eastAsia="zh-CN"/>
              </w:rPr>
              <w:t>1、</w:t>
            </w:r>
            <w:r>
              <w:rPr>
                <w:rFonts w:hint="eastAsia" w:ascii="宋体" w:hAnsi="宋体"/>
                <w:szCs w:val="20"/>
              </w:rPr>
              <w:t>所有药盒、底座检查异常；</w:t>
            </w:r>
            <w:r>
              <w:rPr>
                <w:rFonts w:hint="eastAsia" w:ascii="宋体" w:hAnsi="宋体"/>
                <w:szCs w:val="20"/>
                <w:lang w:val="en-US" w:eastAsia="zh-CN"/>
              </w:rPr>
              <w:t>2、</w:t>
            </w:r>
            <w:r>
              <w:rPr>
                <w:rFonts w:hint="eastAsia" w:ascii="宋体" w:hAnsi="宋体"/>
                <w:szCs w:val="20"/>
              </w:rPr>
              <w:t>所有落药通道</w:t>
            </w:r>
            <w:r>
              <w:rPr>
                <w:rFonts w:hint="eastAsia" w:ascii="宋体" w:hAnsi="宋体"/>
                <w:szCs w:val="20"/>
                <w:lang w:val="en-US" w:eastAsia="zh-CN"/>
              </w:rPr>
              <w:t>的</w:t>
            </w:r>
            <w:r>
              <w:rPr>
                <w:rFonts w:hint="eastAsia" w:ascii="宋体" w:hAnsi="宋体"/>
                <w:szCs w:val="20"/>
              </w:rPr>
              <w:t>清洁；</w:t>
            </w:r>
            <w:r>
              <w:rPr>
                <w:rFonts w:hint="eastAsia" w:ascii="宋体" w:hAnsi="宋体"/>
                <w:szCs w:val="20"/>
                <w:lang w:val="en-US" w:eastAsia="zh-CN"/>
              </w:rPr>
              <w:t>3、</w:t>
            </w:r>
            <w:r>
              <w:rPr>
                <w:rFonts w:hint="eastAsia" w:ascii="宋体" w:hAnsi="宋体"/>
                <w:szCs w:val="20"/>
              </w:rPr>
              <w:t>大小漏斗药粉清理，MDU落药通道清理</w:t>
            </w:r>
            <w:r>
              <w:rPr>
                <w:rFonts w:hint="eastAsia" w:ascii="宋体" w:hAnsi="宋体"/>
                <w:szCs w:val="20"/>
                <w:lang w:eastAsia="zh-CN"/>
              </w:rPr>
              <w:t>；</w:t>
            </w:r>
            <w:r>
              <w:rPr>
                <w:rFonts w:hint="eastAsia" w:ascii="宋体" w:hAnsi="宋体"/>
                <w:szCs w:val="20"/>
                <w:lang w:val="en-US" w:eastAsia="zh-CN"/>
              </w:rPr>
              <w:t>4、</w:t>
            </w:r>
            <w:r>
              <w:rPr>
                <w:rFonts w:hint="eastAsia" w:ascii="宋体" w:hAnsi="宋体"/>
                <w:szCs w:val="20"/>
              </w:rPr>
              <w:t>检查中间漏斗翻板运转情况并清理</w:t>
            </w:r>
            <w:r>
              <w:rPr>
                <w:rFonts w:hint="eastAsia" w:ascii="宋体" w:hAnsi="宋体"/>
                <w:szCs w:val="20"/>
                <w:lang w:eastAsia="zh-CN"/>
              </w:rPr>
              <w:t>；</w:t>
            </w:r>
            <w:r>
              <w:rPr>
                <w:rFonts w:hint="eastAsia" w:ascii="宋体" w:hAnsi="宋体"/>
                <w:szCs w:val="20"/>
                <w:lang w:val="en-US" w:eastAsia="zh-CN"/>
              </w:rPr>
              <w:t>5、</w:t>
            </w:r>
            <w:r>
              <w:rPr>
                <w:rFonts w:hint="eastAsia" w:ascii="宋体" w:hAnsi="宋体"/>
                <w:szCs w:val="20"/>
              </w:rPr>
              <w:t>药袋包装封口、剪切、打印检查；</w:t>
            </w:r>
            <w:r>
              <w:rPr>
                <w:rFonts w:hint="eastAsia" w:ascii="宋体" w:hAnsi="宋体"/>
                <w:szCs w:val="20"/>
                <w:lang w:val="en-US" w:eastAsia="zh-CN"/>
              </w:rPr>
              <w:t>6、</w:t>
            </w:r>
            <w:r>
              <w:rPr>
                <w:rFonts w:hint="eastAsia" w:ascii="宋体" w:hAnsi="宋体"/>
                <w:szCs w:val="20"/>
              </w:rPr>
              <w:t>出药口海绵球破损检查更换（半年一次）</w:t>
            </w:r>
            <w:r>
              <w:rPr>
                <w:rFonts w:hint="eastAsia" w:ascii="宋体" w:hAnsi="宋体"/>
                <w:szCs w:val="20"/>
                <w:lang w:eastAsia="zh-CN"/>
              </w:rPr>
              <w:t>；</w:t>
            </w:r>
            <w:r>
              <w:rPr>
                <w:rFonts w:hint="eastAsia" w:ascii="宋体" w:hAnsi="宋体"/>
                <w:szCs w:val="20"/>
                <w:lang w:val="en-US" w:eastAsia="zh-CN"/>
              </w:rPr>
              <w:t>7、</w:t>
            </w:r>
            <w:r>
              <w:rPr>
                <w:rFonts w:hint="eastAsia" w:ascii="宋体" w:hAnsi="宋体"/>
                <w:szCs w:val="20"/>
              </w:rPr>
              <w:t>出药传输带动力检查、清理残留药品</w:t>
            </w:r>
            <w:r>
              <w:rPr>
                <w:rFonts w:hint="eastAsia" w:ascii="宋体" w:hAnsi="宋体"/>
                <w:szCs w:val="20"/>
                <w:lang w:eastAsia="zh-CN"/>
              </w:rPr>
              <w:t>；</w:t>
            </w:r>
            <w:r>
              <w:rPr>
                <w:rFonts w:hint="eastAsia" w:ascii="宋体" w:hAnsi="宋体"/>
                <w:szCs w:val="20"/>
                <w:lang w:val="en-US" w:eastAsia="zh-CN"/>
              </w:rPr>
              <w:t>8、</w:t>
            </w:r>
            <w:r>
              <w:rPr>
                <w:rFonts w:hint="eastAsia" w:ascii="宋体" w:hAnsi="宋体"/>
                <w:szCs w:val="20"/>
              </w:rPr>
              <w:t>其他异常状况检查及处理</w:t>
            </w:r>
            <w:r>
              <w:rPr>
                <w:rFonts w:hint="eastAsia" w:ascii="宋体" w:hAnsi="宋体"/>
                <w:szCs w:val="20"/>
                <w:lang w:eastAsia="zh-CN"/>
              </w:rPr>
              <w:t>。</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Theme="minorEastAsia"/>
                <w:szCs w:val="20"/>
                <w:lang w:eastAsia="zh-CN"/>
              </w:rPr>
            </w:pPr>
            <w:r>
              <w:rPr>
                <w:rFonts w:hint="eastAsia" w:ascii="宋体" w:hAnsi="宋体"/>
                <w:szCs w:val="20"/>
                <w:lang w:val="en-US" w:eastAsia="zh-CN"/>
              </w:rPr>
              <w:t>2</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供应商在浙江省内有1名及以上专业的维修工程师，为医院提供服务前医院可以要求事先提供工程师经过原厂维修培训所获证书、社保证明等。维修前应将用户相关数据等备份，维修结束后恢复原状。</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Theme="minorEastAsia"/>
                <w:szCs w:val="20"/>
                <w:lang w:eastAsia="zh-CN"/>
              </w:rPr>
            </w:pPr>
            <w:r>
              <w:rPr>
                <w:rFonts w:hint="eastAsia" w:ascii="宋体" w:hAnsi="宋体"/>
                <w:szCs w:val="20"/>
                <w:lang w:val="en-US" w:eastAsia="zh-CN"/>
              </w:rPr>
              <w:t>3</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提供保修服务期内接报修电话后，1小时内电话响应，在24小时内派工程师到现场实施维修（包括节假日）。影响设备正常运行的维修备件在确认后</w:t>
            </w:r>
            <w:r>
              <w:rPr>
                <w:rFonts w:hint="eastAsia" w:ascii="宋体" w:hAnsi="宋体"/>
                <w:kern w:val="0"/>
                <w:szCs w:val="20"/>
              </w:rPr>
              <w:t>国内</w:t>
            </w:r>
            <w:r>
              <w:rPr>
                <w:rFonts w:hint="eastAsia" w:ascii="宋体" w:hAnsi="宋体"/>
                <w:kern w:val="0"/>
                <w:szCs w:val="20"/>
                <w:lang w:val="en-US" w:eastAsia="zh-CN"/>
              </w:rPr>
              <w:t>48</w:t>
            </w:r>
            <w:r>
              <w:rPr>
                <w:rFonts w:hint="eastAsia" w:ascii="宋体" w:hAnsi="宋体"/>
                <w:kern w:val="0"/>
                <w:szCs w:val="20"/>
              </w:rPr>
              <w:t>小时内、国外72小时内</w:t>
            </w:r>
            <w:r>
              <w:rPr>
                <w:rFonts w:hint="eastAsia" w:ascii="宋体" w:hAnsi="宋体"/>
                <w:szCs w:val="20"/>
              </w:rPr>
              <w:t>送达维修现场。</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Theme="minorEastAsia"/>
                <w:szCs w:val="20"/>
                <w:lang w:eastAsia="zh-CN"/>
              </w:rPr>
            </w:pPr>
            <w:r>
              <w:rPr>
                <w:rFonts w:hint="eastAsia" w:ascii="宋体" w:hAnsi="宋体"/>
                <w:szCs w:val="20"/>
                <w:lang w:val="en-US" w:eastAsia="zh-CN"/>
              </w:rPr>
              <w:t>4</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供应商在国内及浙江省内有专业的售后服务机构，并注明省内售后服务机构办公地点。提供维修服务网点、人员联系方式。</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宋体"/>
                <w:szCs w:val="20"/>
                <w:lang w:eastAsia="zh-CN"/>
              </w:rPr>
            </w:pPr>
            <w:r>
              <w:rPr>
                <w:rFonts w:hint="eastAsia" w:ascii="宋体" w:hAnsi="宋体"/>
                <w:szCs w:val="20"/>
                <w:lang w:val="en-US" w:eastAsia="zh-CN"/>
              </w:rPr>
              <w:t>5</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为院方维修设备提供的更换部件保证为原厂品牌的原装部件。</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宋体"/>
                <w:szCs w:val="20"/>
                <w:lang w:eastAsia="zh-CN"/>
              </w:rPr>
            </w:pPr>
            <w:r>
              <w:rPr>
                <w:rFonts w:hint="eastAsia" w:ascii="宋体" w:hAnsi="宋体"/>
                <w:szCs w:val="20"/>
                <w:lang w:val="en-US" w:eastAsia="zh-CN"/>
              </w:rPr>
              <w:t>6</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服务期内，服务商在维修更换配件时若引发医院其他新故障时，由服务商自行解决故障及配件，全部费用由服务商支付。</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spacing w:line="360" w:lineRule="auto"/>
              <w:jc w:val="center"/>
              <w:rPr>
                <w:rFonts w:hint="eastAsia" w:ascii="宋体" w:hAnsi="宋体" w:eastAsia="宋体"/>
                <w:szCs w:val="20"/>
                <w:lang w:eastAsia="zh-CN"/>
              </w:rPr>
            </w:pPr>
            <w:r>
              <w:rPr>
                <w:rFonts w:hint="eastAsia" w:ascii="宋体" w:hAnsi="宋体"/>
                <w:szCs w:val="20"/>
                <w:lang w:val="en-US" w:eastAsia="zh-CN"/>
              </w:rPr>
              <w:t>7</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乙方保证在保修期内，机器的每年正常开机率达95%以上(按日历日计算)， 即故障停机每年累计达到18天后当年每故障停机一天延长十天保修。乙方达不到该开机率，又不进行保修延期赔偿的，甲方有权就顺延天数部分每天收取合同每年均价的1%做为违约金。（上述故障停机指设备无法开机</w:t>
            </w:r>
            <w:r>
              <w:rPr>
                <w:rFonts w:hint="eastAsia" w:ascii="宋体" w:hAnsi="宋体"/>
                <w:szCs w:val="20"/>
                <w:lang w:val="en-US" w:eastAsia="zh-CN"/>
              </w:rPr>
              <w:t>无法正常使用的</w:t>
            </w:r>
            <w:r>
              <w:rPr>
                <w:rFonts w:hint="eastAsia" w:ascii="宋体" w:hAnsi="宋体"/>
                <w:szCs w:val="20"/>
              </w:rPr>
              <w:t>）。</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2" w:type="dxa"/>
            <w:noWrap w:val="0"/>
            <w:vAlign w:val="center"/>
          </w:tcPr>
          <w:p>
            <w:pPr>
              <w:spacing w:line="360" w:lineRule="auto"/>
              <w:jc w:val="center"/>
              <w:rPr>
                <w:rFonts w:hint="eastAsia" w:ascii="宋体" w:hAnsi="宋体" w:eastAsia="宋体"/>
                <w:szCs w:val="20"/>
                <w:lang w:eastAsia="zh-CN"/>
              </w:rPr>
            </w:pPr>
            <w:r>
              <w:rPr>
                <w:rFonts w:hint="eastAsia" w:ascii="宋体" w:hAnsi="宋体"/>
                <w:szCs w:val="20"/>
                <w:lang w:val="en-US" w:eastAsia="zh-CN"/>
              </w:rPr>
              <w:t>8</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保修期内每年提供不少于</w:t>
            </w:r>
            <w:r>
              <w:rPr>
                <w:rFonts w:hint="eastAsia" w:ascii="宋体" w:hAnsi="宋体"/>
                <w:szCs w:val="20"/>
                <w:lang w:val="en-US" w:eastAsia="zh-CN"/>
              </w:rPr>
              <w:t>6</w:t>
            </w:r>
            <w:r>
              <w:rPr>
                <w:rFonts w:hint="eastAsia" w:ascii="宋体" w:hAnsi="宋体"/>
                <w:szCs w:val="20"/>
              </w:rPr>
              <w:t>次的设备预防性维护保养服务，提供详细的设备预防性维护保养计划，根据计划在保修服务期内定期做预防性维护保养，并提供详细记录报告。定期的预防性维护包括设备清洁、性能检测及参数校准、必要的机械或电气安全检查，以及非紧急性质的补救性维修，定期对设备的数据进行备份。</w:t>
            </w:r>
          </w:p>
        </w:tc>
        <w:tc>
          <w:tcPr>
            <w:tcW w:w="1669" w:type="dxa"/>
            <w:noWrap w:val="0"/>
            <w:vAlign w:val="center"/>
          </w:tcPr>
          <w:p>
            <w:pPr>
              <w:widowControl/>
              <w:spacing w:line="324" w:lineRule="auto"/>
              <w:textAlignment w:val="center"/>
              <w:rPr>
                <w:rFonts w:hint="eastAsia" w:ascii="宋体" w:hAns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noWrap w:val="0"/>
            <w:vAlign w:val="center"/>
          </w:tcPr>
          <w:p>
            <w:pPr>
              <w:widowControl/>
              <w:spacing w:line="324" w:lineRule="auto"/>
              <w:jc w:val="center"/>
              <w:textAlignment w:val="center"/>
              <w:rPr>
                <w:rFonts w:hint="default" w:ascii="宋体" w:hAnsi="宋体" w:eastAsia="宋体"/>
                <w:szCs w:val="20"/>
                <w:lang w:val="en-US" w:eastAsia="zh-CN"/>
              </w:rPr>
            </w:pPr>
            <w:r>
              <w:rPr>
                <w:rFonts w:hint="eastAsia" w:ascii="宋体" w:hAnsi="宋体"/>
                <w:szCs w:val="20"/>
                <w:lang w:val="en-US" w:eastAsia="zh-CN"/>
              </w:rPr>
              <w:t>9</w:t>
            </w:r>
          </w:p>
        </w:tc>
        <w:tc>
          <w:tcPr>
            <w:tcW w:w="7413" w:type="dxa"/>
            <w:noWrap w:val="0"/>
            <w:vAlign w:val="center"/>
          </w:tcPr>
          <w:p>
            <w:pPr>
              <w:widowControl/>
              <w:spacing w:line="324" w:lineRule="auto"/>
              <w:textAlignment w:val="center"/>
              <w:rPr>
                <w:rFonts w:ascii="宋体" w:hAnsi="宋体"/>
                <w:szCs w:val="20"/>
              </w:rPr>
            </w:pPr>
            <w:r>
              <w:rPr>
                <w:rFonts w:hint="eastAsia" w:ascii="宋体" w:hAnsi="宋体"/>
                <w:szCs w:val="20"/>
              </w:rPr>
              <w:t>报到用户价包含设备保修、设备保养服务及所有配件费、维修人工费及差旅费等费用。</w:t>
            </w:r>
          </w:p>
        </w:tc>
        <w:tc>
          <w:tcPr>
            <w:tcW w:w="1669" w:type="dxa"/>
            <w:noWrap w:val="0"/>
            <w:vAlign w:val="center"/>
          </w:tcPr>
          <w:p>
            <w:pPr>
              <w:widowControl/>
              <w:spacing w:line="324" w:lineRule="auto"/>
              <w:textAlignment w:val="center"/>
              <w:rPr>
                <w:rFonts w:hint="eastAsia" w:ascii="宋体" w:hAnsi="宋体"/>
                <w:szCs w:val="20"/>
              </w:rPr>
            </w:pPr>
          </w:p>
        </w:tc>
      </w:tr>
    </w:tbl>
    <w:p>
      <w:pPr>
        <w:snapToGrid w:val="0"/>
        <w:spacing w:line="360" w:lineRule="auto"/>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6"/>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13"/>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680"/>
        <w:gridCol w:w="881"/>
        <w:gridCol w:w="1117"/>
        <w:gridCol w:w="66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noWrap w:val="0"/>
            <w:vAlign w:val="center"/>
          </w:tcPr>
          <w:p>
            <w:pPr>
              <w:widowControl/>
              <w:jc w:val="center"/>
              <w:rPr>
                <w:rFonts w:ascii="宋体" w:hAnsi="宋体" w:cs="宋体"/>
                <w:b/>
                <w:kern w:val="0"/>
                <w:sz w:val="22"/>
                <w:highlight w:val="none"/>
              </w:rPr>
            </w:pPr>
            <w:r>
              <w:rPr>
                <w:rFonts w:hint="eastAsia" w:ascii="宋体" w:hAnsi="宋体" w:cs="宋体"/>
                <w:b/>
                <w:kern w:val="0"/>
                <w:sz w:val="22"/>
                <w:szCs w:val="22"/>
                <w:highlight w:val="none"/>
              </w:rPr>
              <w:t>序号</w:t>
            </w:r>
          </w:p>
        </w:tc>
        <w:tc>
          <w:tcPr>
            <w:tcW w:w="474" w:type="pct"/>
            <w:noWrap w:val="0"/>
            <w:vAlign w:val="center"/>
          </w:tcPr>
          <w:p>
            <w:pPr>
              <w:widowControl/>
              <w:jc w:val="center"/>
              <w:rPr>
                <w:rFonts w:ascii="宋体" w:hAnsi="宋体" w:cs="宋体"/>
                <w:b/>
                <w:kern w:val="0"/>
                <w:sz w:val="22"/>
                <w:highlight w:val="none"/>
              </w:rPr>
            </w:pPr>
            <w:r>
              <w:rPr>
                <w:rFonts w:hint="eastAsia" w:ascii="宋体" w:hAnsi="宋体" w:cs="宋体"/>
                <w:b/>
                <w:kern w:val="0"/>
                <w:sz w:val="22"/>
                <w:szCs w:val="22"/>
                <w:highlight w:val="none"/>
              </w:rPr>
              <w:t>内容</w:t>
            </w:r>
          </w:p>
        </w:tc>
        <w:tc>
          <w:tcPr>
            <w:tcW w:w="601" w:type="pct"/>
            <w:noWrap w:val="0"/>
            <w:vAlign w:val="center"/>
          </w:tcPr>
          <w:p>
            <w:pPr>
              <w:widowControl/>
              <w:jc w:val="center"/>
              <w:rPr>
                <w:rFonts w:ascii="宋体" w:hAnsi="宋体" w:cs="宋体"/>
                <w:b/>
                <w:kern w:val="0"/>
                <w:sz w:val="22"/>
                <w:highlight w:val="none"/>
              </w:rPr>
            </w:pPr>
            <w:r>
              <w:rPr>
                <w:rFonts w:hint="eastAsia" w:ascii="宋体" w:hAnsi="宋体" w:cs="宋体"/>
                <w:b/>
                <w:kern w:val="0"/>
                <w:sz w:val="22"/>
                <w:szCs w:val="22"/>
                <w:highlight w:val="none"/>
              </w:rPr>
              <w:t>分值</w:t>
            </w:r>
          </w:p>
        </w:tc>
        <w:tc>
          <w:tcPr>
            <w:tcW w:w="3557" w:type="pct"/>
            <w:noWrap w:val="0"/>
            <w:vAlign w:val="center"/>
          </w:tcPr>
          <w:p>
            <w:pPr>
              <w:widowControl/>
              <w:jc w:val="center"/>
              <w:rPr>
                <w:rFonts w:ascii="宋体" w:hAnsi="宋体" w:cs="宋体"/>
                <w:b/>
                <w:kern w:val="0"/>
                <w:sz w:val="22"/>
                <w:highlight w:val="none"/>
              </w:rPr>
            </w:pPr>
            <w:r>
              <w:rPr>
                <w:rFonts w:hint="eastAsia" w:ascii="宋体" w:hAnsi="宋体" w:cs="宋体"/>
                <w:b/>
                <w:kern w:val="0"/>
                <w:sz w:val="22"/>
                <w:szCs w:val="22"/>
                <w:highlight w:val="none"/>
              </w:rPr>
              <w:t>评分细则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00" w:hRule="atLeast"/>
        </w:trPr>
        <w:tc>
          <w:tcPr>
            <w:tcW w:w="366"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474"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lang w:val="en-US" w:eastAsia="zh-CN"/>
              </w:rPr>
              <w:t>供应商</w:t>
            </w:r>
            <w:r>
              <w:rPr>
                <w:rFonts w:hint="eastAsia" w:ascii="宋体" w:hAnsi="宋体" w:eastAsia="宋体" w:cs="宋体"/>
                <w:kern w:val="0"/>
                <w:sz w:val="22"/>
                <w:szCs w:val="22"/>
                <w:highlight w:val="none"/>
              </w:rPr>
              <w:t>资质</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0-4分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具有ISO9001国际标准质量管理体系认证、ISO27001信息安全国际标准质量管理体系认证、医疗行业的ISO13485国际标准质量管理体系认证、OHSAS18001职业健康安全国际标准质量管理体系认证的， 每提供一项有效认证得1分，</w:t>
            </w:r>
            <w:r>
              <w:rPr>
                <w:rFonts w:hint="eastAsia" w:ascii="宋体" w:hAnsi="宋体" w:eastAsia="宋体" w:cs="宋体"/>
                <w:kern w:val="0"/>
                <w:sz w:val="22"/>
                <w:szCs w:val="22"/>
                <w:highlight w:val="none"/>
                <w:lang w:val="en-US" w:eastAsia="zh-CN"/>
              </w:rPr>
              <w:t>最高得</w:t>
            </w:r>
            <w:r>
              <w:rPr>
                <w:rFonts w:hint="eastAsia" w:ascii="宋体" w:hAnsi="宋体" w:eastAsia="宋体" w:cs="宋体"/>
                <w:kern w:val="0"/>
                <w:sz w:val="22"/>
                <w:szCs w:val="22"/>
                <w:highlight w:val="none"/>
              </w:rPr>
              <w:t>4分。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2</w:t>
            </w:r>
          </w:p>
        </w:tc>
        <w:tc>
          <w:tcPr>
            <w:tcW w:w="474"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技术功能符合度</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w:t>
            </w:r>
            <w:r>
              <w:rPr>
                <w:rFonts w:hint="eastAsia" w:ascii="宋体" w:hAnsi="宋体" w:eastAsia="宋体" w:cs="宋体"/>
                <w:kern w:val="0"/>
                <w:sz w:val="22"/>
                <w:szCs w:val="22"/>
                <w:highlight w:val="none"/>
                <w:lang w:val="en-US" w:eastAsia="zh-CN"/>
              </w:rPr>
              <w:t>26</w:t>
            </w:r>
            <w:r>
              <w:rPr>
                <w:rFonts w:hint="eastAsia" w:ascii="宋体" w:hAnsi="宋体" w:eastAsia="宋体" w:cs="宋体"/>
                <w:kern w:val="0"/>
                <w:sz w:val="22"/>
                <w:szCs w:val="22"/>
                <w:highlight w:val="none"/>
              </w:rPr>
              <w:t>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对应于采购文件“采购内容及</w:t>
            </w:r>
            <w:r>
              <w:rPr>
                <w:rFonts w:hint="eastAsia" w:ascii="宋体" w:hAnsi="宋体" w:eastAsia="宋体" w:cs="宋体"/>
                <w:kern w:val="0"/>
                <w:sz w:val="22"/>
                <w:szCs w:val="22"/>
                <w:highlight w:val="none"/>
                <w:lang w:val="en-US" w:eastAsia="zh-CN"/>
              </w:rPr>
              <w:t>要</w:t>
            </w:r>
            <w:r>
              <w:rPr>
                <w:rFonts w:hint="eastAsia" w:ascii="宋体" w:hAnsi="宋体" w:eastAsia="宋体" w:cs="宋体"/>
                <w:kern w:val="0"/>
                <w:sz w:val="22"/>
                <w:szCs w:val="22"/>
                <w:highlight w:val="none"/>
              </w:rPr>
              <w:t>求”的符合度，每一项不满足扣2分，扣完为止。</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0" w:hRule="atLeast"/>
        </w:trPr>
        <w:tc>
          <w:tcPr>
            <w:tcW w:w="366" w:type="pct"/>
            <w:vMerge w:val="restar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3</w:t>
            </w:r>
          </w:p>
        </w:tc>
        <w:tc>
          <w:tcPr>
            <w:tcW w:w="474" w:type="pct"/>
            <w:vMerge w:val="restar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服务方案</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0-5分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根据</w:t>
            </w:r>
            <w:r>
              <w:rPr>
                <w:rFonts w:hint="eastAsia" w:ascii="宋体" w:hAnsi="宋体" w:eastAsia="宋体" w:cs="宋体"/>
                <w:kern w:val="0"/>
                <w:sz w:val="22"/>
                <w:szCs w:val="22"/>
                <w:highlight w:val="none"/>
                <w:lang w:val="en-US" w:eastAsia="zh-CN"/>
              </w:rPr>
              <w:t>供应商</w:t>
            </w:r>
            <w:r>
              <w:rPr>
                <w:rFonts w:hint="eastAsia" w:ascii="宋体" w:hAnsi="宋体" w:eastAsia="宋体" w:cs="宋体"/>
                <w:kern w:val="0"/>
                <w:sz w:val="22"/>
                <w:szCs w:val="22"/>
                <w:highlight w:val="none"/>
              </w:rPr>
              <w:t>的详细维护保修方案、技术支持和质量保证措施，考虑技术支持与维保服务内容是否完整、事件响应处理流程是否规范、描述是否清晰进行评审，0-5分。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vMerge w:val="continue"/>
            <w:noWrap w:val="0"/>
            <w:vAlign w:val="center"/>
          </w:tcPr>
          <w:p>
            <w:pPr>
              <w:widowControl/>
              <w:rPr>
                <w:rFonts w:hint="eastAsia" w:ascii="宋体" w:hAnsi="宋体" w:eastAsia="宋体" w:cs="宋体"/>
                <w:kern w:val="0"/>
                <w:sz w:val="22"/>
                <w:szCs w:val="22"/>
                <w:highlight w:val="none"/>
              </w:rPr>
            </w:pPr>
          </w:p>
        </w:tc>
        <w:tc>
          <w:tcPr>
            <w:tcW w:w="474" w:type="pct"/>
            <w:vMerge w:val="continue"/>
            <w:noWrap w:val="0"/>
            <w:vAlign w:val="center"/>
          </w:tcPr>
          <w:p>
            <w:pPr>
              <w:widowControl/>
              <w:rPr>
                <w:rFonts w:hint="eastAsia" w:ascii="宋体" w:hAnsi="宋体" w:eastAsia="宋体" w:cs="宋体"/>
                <w:kern w:val="0"/>
                <w:sz w:val="22"/>
                <w:szCs w:val="22"/>
                <w:highlight w:val="none"/>
              </w:rPr>
            </w:pP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0-5分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针对本次维保服务制定的故障处理方案、预防方案及应急措施的合理性、科学性，进行评审，0-5分。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vMerge w:val="continue"/>
            <w:noWrap w:val="0"/>
            <w:vAlign w:val="center"/>
          </w:tcPr>
          <w:p>
            <w:pPr>
              <w:widowControl/>
              <w:rPr>
                <w:rFonts w:hint="eastAsia" w:ascii="宋体" w:hAnsi="宋体" w:eastAsia="宋体" w:cs="宋体"/>
                <w:kern w:val="0"/>
                <w:sz w:val="22"/>
                <w:szCs w:val="22"/>
                <w:highlight w:val="none"/>
              </w:rPr>
            </w:pPr>
          </w:p>
        </w:tc>
        <w:tc>
          <w:tcPr>
            <w:tcW w:w="474" w:type="pct"/>
            <w:vMerge w:val="continue"/>
            <w:noWrap w:val="0"/>
            <w:vAlign w:val="center"/>
          </w:tcPr>
          <w:p>
            <w:pPr>
              <w:widowControl/>
              <w:rPr>
                <w:rFonts w:hint="eastAsia" w:ascii="宋体" w:hAnsi="宋体" w:eastAsia="宋体" w:cs="宋体"/>
                <w:kern w:val="0"/>
                <w:sz w:val="22"/>
                <w:szCs w:val="22"/>
                <w:highlight w:val="none"/>
              </w:rPr>
            </w:pP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0-5分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根据现场服务、技术故障响应时间、设备故障解决时间等的承诺进行评审，0-5分。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vMerge w:val="continue"/>
            <w:noWrap w:val="0"/>
            <w:vAlign w:val="center"/>
          </w:tcPr>
          <w:p>
            <w:pPr>
              <w:widowControl/>
              <w:rPr>
                <w:rFonts w:hint="eastAsia" w:ascii="宋体" w:hAnsi="宋体" w:eastAsia="宋体" w:cs="宋体"/>
                <w:kern w:val="0"/>
                <w:sz w:val="22"/>
                <w:szCs w:val="22"/>
                <w:highlight w:val="none"/>
              </w:rPr>
            </w:pPr>
          </w:p>
        </w:tc>
        <w:tc>
          <w:tcPr>
            <w:tcW w:w="474" w:type="pct"/>
            <w:vMerge w:val="continue"/>
            <w:noWrap w:val="0"/>
            <w:vAlign w:val="center"/>
          </w:tcPr>
          <w:p>
            <w:pPr>
              <w:widowControl/>
              <w:rPr>
                <w:rFonts w:hint="eastAsia" w:ascii="宋体" w:hAnsi="宋体" w:eastAsia="宋体" w:cs="宋体"/>
                <w:kern w:val="0"/>
                <w:sz w:val="22"/>
                <w:szCs w:val="22"/>
                <w:highlight w:val="none"/>
              </w:rPr>
            </w:pP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0-5分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根据提供的针对本项目设计的日常巡检报告单、详细设备档案登记表、现场服务报告单、维保操作流程等，进行评审，0-5分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56" w:hRule="atLeast"/>
        </w:trPr>
        <w:tc>
          <w:tcPr>
            <w:tcW w:w="366" w:type="pc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4</w:t>
            </w:r>
          </w:p>
        </w:tc>
        <w:tc>
          <w:tcPr>
            <w:tcW w:w="474"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维保人员配备</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0-5分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提供负责本项目维保人员的情况，包括同品牌CT原厂培训经历等，提供原厂培训证书扫描件（培训内容范围清晰可见）</w:t>
            </w:r>
            <w:r>
              <w:rPr>
                <w:rFonts w:hint="eastAsia" w:ascii="宋体" w:hAnsi="宋体" w:eastAsia="宋体" w:cs="宋体"/>
                <w:kern w:val="0"/>
                <w:sz w:val="22"/>
                <w:szCs w:val="22"/>
                <w:highlight w:val="none"/>
                <w:lang w:eastAsia="zh-CN"/>
              </w:rPr>
              <w:t>，</w:t>
            </w:r>
            <w:r>
              <w:rPr>
                <w:rFonts w:hint="eastAsia" w:ascii="宋体" w:hAnsi="宋体" w:eastAsia="宋体" w:cs="宋体"/>
                <w:kern w:val="0"/>
                <w:sz w:val="22"/>
                <w:szCs w:val="22"/>
                <w:highlight w:val="none"/>
              </w:rPr>
              <w:t>0-5分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vMerge w:val="restar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5</w:t>
            </w:r>
          </w:p>
        </w:tc>
        <w:tc>
          <w:tcPr>
            <w:tcW w:w="474" w:type="pct"/>
            <w:vMerge w:val="restar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维修备品备件</w:t>
            </w:r>
          </w:p>
        </w:tc>
        <w:tc>
          <w:tcPr>
            <w:tcW w:w="601" w:type="pct"/>
            <w:vMerge w:val="restar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w:t>
            </w:r>
            <w:r>
              <w:rPr>
                <w:rFonts w:hint="eastAsia" w:ascii="宋体" w:hAnsi="宋体" w:eastAsia="宋体" w:cs="宋体"/>
                <w:kern w:val="0"/>
                <w:sz w:val="22"/>
                <w:szCs w:val="22"/>
                <w:highlight w:val="none"/>
                <w:lang w:val="en-US" w:eastAsia="zh-CN"/>
              </w:rPr>
              <w:t>7</w:t>
            </w:r>
            <w:r>
              <w:rPr>
                <w:rFonts w:hint="eastAsia" w:ascii="宋体" w:hAnsi="宋体" w:eastAsia="宋体" w:cs="宋体"/>
                <w:kern w:val="0"/>
                <w:sz w:val="22"/>
                <w:szCs w:val="22"/>
                <w:highlight w:val="none"/>
              </w:rPr>
              <w:t>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cs="宋体"/>
                <w:kern w:val="0"/>
                <w:sz w:val="22"/>
                <w:szCs w:val="22"/>
                <w:highlight w:val="none"/>
              </w:rPr>
              <w:t>提供全新球管海关报关单扫描件，证明符合设计参数及整机匹配性打分</w:t>
            </w:r>
            <w:r>
              <w:rPr>
                <w:rFonts w:hint="eastAsia" w:ascii="宋体" w:hAnsi="宋体" w:cs="宋体"/>
                <w:kern w:val="0"/>
                <w:sz w:val="22"/>
                <w:szCs w:val="22"/>
                <w:highlight w:val="none"/>
                <w:lang w:eastAsia="zh-CN"/>
              </w:rPr>
              <w:t>，</w:t>
            </w:r>
            <w:r>
              <w:rPr>
                <w:rFonts w:hint="eastAsia" w:ascii="宋体" w:hAnsi="宋体" w:cs="宋体"/>
                <w:kern w:val="0"/>
                <w:sz w:val="22"/>
                <w:szCs w:val="22"/>
                <w:highlight w:val="none"/>
              </w:rPr>
              <w:t>0-</w:t>
            </w:r>
            <w:r>
              <w:rPr>
                <w:rFonts w:hint="eastAsia" w:ascii="宋体" w:hAnsi="宋体" w:cs="宋体"/>
                <w:kern w:val="0"/>
                <w:sz w:val="22"/>
                <w:szCs w:val="22"/>
                <w:highlight w:val="none"/>
                <w:lang w:val="en-US" w:eastAsia="zh-CN"/>
              </w:rPr>
              <w:t>3</w:t>
            </w:r>
            <w:r>
              <w:rPr>
                <w:rFonts w:hint="eastAsia" w:ascii="宋体" w:hAnsi="宋体" w:cs="宋体"/>
                <w:kern w:val="0"/>
                <w:sz w:val="22"/>
                <w:szCs w:val="22"/>
                <w:highlight w:val="none"/>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vMerge w:val="continue"/>
            <w:noWrap w:val="0"/>
            <w:vAlign w:val="center"/>
          </w:tcPr>
          <w:p>
            <w:pPr>
              <w:widowControl/>
              <w:rPr>
                <w:rFonts w:hint="eastAsia" w:ascii="宋体" w:hAnsi="宋体" w:eastAsia="宋体" w:cs="宋体"/>
                <w:kern w:val="0"/>
                <w:sz w:val="22"/>
                <w:szCs w:val="22"/>
                <w:highlight w:val="none"/>
                <w:lang w:eastAsia="zh-CN"/>
              </w:rPr>
            </w:pPr>
          </w:p>
        </w:tc>
        <w:tc>
          <w:tcPr>
            <w:tcW w:w="474" w:type="pct"/>
            <w:vMerge w:val="continue"/>
            <w:noWrap w:val="0"/>
            <w:vAlign w:val="center"/>
          </w:tcPr>
          <w:p>
            <w:pPr>
              <w:widowControl/>
              <w:rPr>
                <w:rFonts w:hint="eastAsia" w:ascii="宋体" w:hAnsi="宋体" w:eastAsia="宋体" w:cs="宋体"/>
                <w:kern w:val="0"/>
                <w:sz w:val="22"/>
                <w:szCs w:val="22"/>
                <w:highlight w:val="none"/>
              </w:rPr>
            </w:pPr>
          </w:p>
        </w:tc>
        <w:tc>
          <w:tcPr>
            <w:tcW w:w="601" w:type="pct"/>
            <w:vMerge w:val="continue"/>
            <w:noWrap w:val="0"/>
            <w:vAlign w:val="center"/>
          </w:tcPr>
          <w:p>
            <w:pPr>
              <w:widowControl/>
              <w:rPr>
                <w:rFonts w:hint="eastAsia" w:ascii="宋体" w:hAnsi="宋体" w:eastAsia="宋体" w:cs="宋体"/>
                <w:kern w:val="0"/>
                <w:sz w:val="22"/>
                <w:szCs w:val="22"/>
                <w:highlight w:val="none"/>
              </w:rPr>
            </w:pP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提供仓库情况及设备备品备件储备情况等打分</w:t>
            </w:r>
            <w:r>
              <w:rPr>
                <w:rFonts w:hint="eastAsia" w:ascii="宋体" w:hAnsi="宋体" w:eastAsia="宋体" w:cs="宋体"/>
                <w:kern w:val="0"/>
                <w:sz w:val="22"/>
                <w:szCs w:val="22"/>
                <w:highlight w:val="none"/>
                <w:lang w:eastAsia="zh-CN"/>
              </w:rPr>
              <w:t>，</w:t>
            </w:r>
            <w:r>
              <w:rPr>
                <w:rFonts w:hint="eastAsia" w:ascii="宋体" w:hAnsi="宋体" w:eastAsia="宋体" w:cs="宋体"/>
                <w:kern w:val="0"/>
                <w:sz w:val="22"/>
                <w:szCs w:val="22"/>
                <w:highlight w:val="none"/>
              </w:rPr>
              <w:t>0-</w:t>
            </w:r>
            <w:r>
              <w:rPr>
                <w:rFonts w:hint="eastAsia" w:ascii="宋体" w:hAnsi="宋体" w:eastAsia="宋体" w:cs="宋体"/>
                <w:kern w:val="0"/>
                <w:sz w:val="22"/>
                <w:szCs w:val="22"/>
                <w:highlight w:val="none"/>
                <w:lang w:val="en-US" w:eastAsia="zh-CN"/>
              </w:rPr>
              <w:t>2</w:t>
            </w:r>
            <w:r>
              <w:rPr>
                <w:rFonts w:hint="eastAsia" w:ascii="宋体" w:hAnsi="宋体" w:eastAsia="宋体" w:cs="宋体"/>
                <w:kern w:val="0"/>
                <w:sz w:val="22"/>
                <w:szCs w:val="22"/>
                <w:highlight w:val="none"/>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8" w:hRule="atLeast"/>
        </w:trPr>
        <w:tc>
          <w:tcPr>
            <w:tcW w:w="366" w:type="pct"/>
            <w:vMerge w:val="continue"/>
            <w:noWrap w:val="0"/>
            <w:vAlign w:val="center"/>
          </w:tcPr>
          <w:p>
            <w:pPr>
              <w:widowControl/>
              <w:rPr>
                <w:rFonts w:hint="eastAsia" w:ascii="宋体" w:hAnsi="宋体" w:eastAsia="宋体" w:cs="宋体"/>
                <w:kern w:val="0"/>
                <w:sz w:val="22"/>
                <w:szCs w:val="22"/>
                <w:highlight w:val="none"/>
              </w:rPr>
            </w:pPr>
          </w:p>
        </w:tc>
        <w:tc>
          <w:tcPr>
            <w:tcW w:w="474" w:type="pct"/>
            <w:vMerge w:val="continue"/>
            <w:noWrap w:val="0"/>
            <w:vAlign w:val="center"/>
          </w:tcPr>
          <w:p>
            <w:pPr>
              <w:widowControl/>
              <w:rPr>
                <w:rFonts w:hint="eastAsia" w:ascii="宋体" w:hAnsi="宋体" w:eastAsia="宋体" w:cs="宋体"/>
                <w:kern w:val="0"/>
                <w:sz w:val="22"/>
                <w:szCs w:val="22"/>
                <w:highlight w:val="none"/>
              </w:rPr>
            </w:pPr>
          </w:p>
        </w:tc>
        <w:tc>
          <w:tcPr>
            <w:tcW w:w="601" w:type="pct"/>
            <w:vMerge w:val="continue"/>
            <w:noWrap w:val="0"/>
            <w:vAlign w:val="center"/>
          </w:tcPr>
          <w:p>
            <w:pPr>
              <w:widowControl/>
              <w:rPr>
                <w:rFonts w:hint="eastAsia" w:ascii="宋体" w:hAnsi="宋体" w:eastAsia="宋体" w:cs="宋体"/>
                <w:kern w:val="0"/>
                <w:sz w:val="22"/>
                <w:szCs w:val="22"/>
                <w:highlight w:val="none"/>
              </w:rPr>
            </w:pP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提供维修备品备件物流情况打分，0-</w:t>
            </w:r>
            <w:r>
              <w:rPr>
                <w:rFonts w:hint="eastAsia" w:ascii="宋体" w:hAnsi="宋体" w:eastAsia="宋体" w:cs="宋体"/>
                <w:kern w:val="0"/>
                <w:sz w:val="22"/>
                <w:szCs w:val="22"/>
                <w:highlight w:val="none"/>
                <w:lang w:val="en-US" w:eastAsia="zh-CN"/>
              </w:rPr>
              <w:t>2</w:t>
            </w:r>
            <w:r>
              <w:rPr>
                <w:rFonts w:hint="eastAsia" w:ascii="宋体" w:hAnsi="宋体" w:eastAsia="宋体" w:cs="宋体"/>
                <w:kern w:val="0"/>
                <w:sz w:val="22"/>
                <w:szCs w:val="22"/>
                <w:highlight w:val="none"/>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0" w:hRule="atLeast"/>
        </w:trPr>
        <w:tc>
          <w:tcPr>
            <w:tcW w:w="366" w:type="pc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6</w:t>
            </w:r>
          </w:p>
        </w:tc>
        <w:tc>
          <w:tcPr>
            <w:tcW w:w="474"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维修、保养工具</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w:t>
            </w:r>
            <w:r>
              <w:rPr>
                <w:rFonts w:hint="eastAsia" w:ascii="宋体" w:hAnsi="宋体" w:eastAsia="宋体" w:cs="宋体"/>
                <w:kern w:val="0"/>
                <w:sz w:val="22"/>
                <w:szCs w:val="22"/>
                <w:highlight w:val="none"/>
                <w:lang w:val="en-US" w:eastAsia="zh-CN"/>
              </w:rPr>
              <w:t>5</w:t>
            </w:r>
            <w:r>
              <w:rPr>
                <w:rFonts w:hint="eastAsia" w:ascii="宋体" w:hAnsi="宋体" w:eastAsia="宋体" w:cs="宋体"/>
                <w:kern w:val="0"/>
                <w:sz w:val="22"/>
                <w:szCs w:val="22"/>
                <w:highlight w:val="none"/>
              </w:rPr>
              <w:t>分</w:t>
            </w:r>
          </w:p>
        </w:tc>
        <w:tc>
          <w:tcPr>
            <w:tcW w:w="3557"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根据</w:t>
            </w:r>
            <w:r>
              <w:rPr>
                <w:rFonts w:hint="eastAsia" w:ascii="宋体" w:hAnsi="宋体" w:eastAsia="宋体" w:cs="宋体"/>
                <w:kern w:val="0"/>
                <w:sz w:val="22"/>
                <w:szCs w:val="22"/>
                <w:highlight w:val="none"/>
                <w:lang w:val="en-US" w:eastAsia="zh-CN"/>
              </w:rPr>
              <w:t>供应商</w:t>
            </w:r>
            <w:r>
              <w:rPr>
                <w:rFonts w:hint="eastAsia" w:ascii="宋体" w:hAnsi="宋体" w:eastAsia="宋体" w:cs="宋体"/>
                <w:kern w:val="0"/>
                <w:sz w:val="22"/>
                <w:szCs w:val="22"/>
                <w:highlight w:val="none"/>
              </w:rPr>
              <w:t>在维修保养过程中，具备的维修、保养工具</w:t>
            </w:r>
            <w:r>
              <w:rPr>
                <w:rFonts w:hint="eastAsia" w:ascii="宋体" w:hAnsi="宋体" w:eastAsia="宋体" w:cs="宋体"/>
                <w:kern w:val="0"/>
                <w:sz w:val="22"/>
                <w:szCs w:val="22"/>
                <w:highlight w:val="none"/>
                <w:lang w:val="en-US" w:eastAsia="zh-CN"/>
              </w:rPr>
              <w:t>情况</w:t>
            </w:r>
            <w:r>
              <w:rPr>
                <w:rFonts w:hint="eastAsia" w:ascii="宋体" w:hAnsi="宋体" w:eastAsia="宋体" w:cs="宋体"/>
                <w:kern w:val="0"/>
                <w:sz w:val="22"/>
                <w:szCs w:val="22"/>
                <w:highlight w:val="none"/>
              </w:rPr>
              <w:t>打分，0-</w:t>
            </w:r>
            <w:r>
              <w:rPr>
                <w:rFonts w:hint="eastAsia" w:ascii="宋体" w:hAnsi="宋体" w:eastAsia="宋体" w:cs="宋体"/>
                <w:kern w:val="0"/>
                <w:sz w:val="22"/>
                <w:szCs w:val="22"/>
                <w:highlight w:val="none"/>
                <w:lang w:val="en-US" w:eastAsia="zh-CN"/>
              </w:rPr>
              <w:t>5</w:t>
            </w:r>
            <w:r>
              <w:rPr>
                <w:rFonts w:hint="eastAsia" w:ascii="宋体" w:hAnsi="宋体" w:eastAsia="宋体" w:cs="宋体"/>
                <w:kern w:val="0"/>
                <w:sz w:val="22"/>
                <w:szCs w:val="22"/>
                <w:highlight w:val="none"/>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66" w:type="pc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7</w:t>
            </w:r>
          </w:p>
        </w:tc>
        <w:tc>
          <w:tcPr>
            <w:tcW w:w="474"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业绩</w:t>
            </w:r>
          </w:p>
        </w:tc>
        <w:tc>
          <w:tcPr>
            <w:tcW w:w="601" w:type="pct"/>
            <w:noWrap w:val="0"/>
            <w:vAlign w:val="center"/>
          </w:tcPr>
          <w:p>
            <w:pPr>
              <w:widowControl/>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0-</w:t>
            </w:r>
            <w:r>
              <w:rPr>
                <w:rFonts w:hint="eastAsia" w:ascii="宋体" w:hAnsi="宋体" w:eastAsia="宋体" w:cs="宋体"/>
                <w:kern w:val="0"/>
                <w:sz w:val="22"/>
                <w:szCs w:val="22"/>
                <w:highlight w:val="none"/>
                <w:lang w:val="en-US" w:eastAsia="zh-CN"/>
              </w:rPr>
              <w:t>3</w:t>
            </w:r>
            <w:r>
              <w:rPr>
                <w:rFonts w:hint="eastAsia" w:ascii="宋体" w:hAnsi="宋体" w:eastAsia="宋体" w:cs="宋体"/>
                <w:kern w:val="0"/>
                <w:sz w:val="22"/>
                <w:szCs w:val="22"/>
                <w:highlight w:val="none"/>
              </w:rPr>
              <w:t>分</w:t>
            </w:r>
          </w:p>
        </w:tc>
        <w:tc>
          <w:tcPr>
            <w:tcW w:w="3557" w:type="pct"/>
            <w:noWrap w:val="0"/>
            <w:vAlign w:val="center"/>
          </w:tcPr>
          <w:p>
            <w:pPr>
              <w:widowControl/>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val="en-US" w:eastAsia="zh-CN"/>
              </w:rPr>
              <w:t>提供</w:t>
            </w:r>
            <w:r>
              <w:rPr>
                <w:rFonts w:hint="eastAsia" w:ascii="宋体" w:hAnsi="宋体" w:eastAsia="宋体" w:cs="宋体"/>
                <w:kern w:val="0"/>
                <w:sz w:val="22"/>
                <w:szCs w:val="22"/>
                <w:highlight w:val="none"/>
              </w:rPr>
              <w:t>201</w:t>
            </w:r>
            <w:r>
              <w:rPr>
                <w:rFonts w:hint="eastAsia" w:ascii="宋体" w:hAnsi="宋体" w:eastAsia="宋体" w:cs="宋体"/>
                <w:kern w:val="0"/>
                <w:sz w:val="22"/>
                <w:szCs w:val="22"/>
                <w:highlight w:val="none"/>
                <w:lang w:val="en-US" w:eastAsia="zh-CN"/>
              </w:rPr>
              <w:t>9</w:t>
            </w:r>
            <w:r>
              <w:rPr>
                <w:rFonts w:hint="eastAsia" w:ascii="宋体" w:hAnsi="宋体" w:eastAsia="宋体" w:cs="宋体"/>
                <w:kern w:val="0"/>
                <w:sz w:val="22"/>
                <w:szCs w:val="22"/>
                <w:highlight w:val="none"/>
              </w:rPr>
              <w:t>年1月1日（</w:t>
            </w:r>
            <w:r>
              <w:rPr>
                <w:rFonts w:hint="eastAsia" w:ascii="宋体" w:hAnsi="宋体" w:eastAsia="宋体" w:cs="宋体"/>
                <w:kern w:val="0"/>
                <w:sz w:val="22"/>
                <w:szCs w:val="22"/>
                <w:highlight w:val="none"/>
                <w:lang w:val="en-US" w:eastAsia="zh-CN"/>
              </w:rPr>
              <w:t>以</w:t>
            </w:r>
            <w:r>
              <w:rPr>
                <w:rFonts w:hint="eastAsia" w:ascii="宋体" w:hAnsi="宋体" w:eastAsia="宋体" w:cs="宋体"/>
                <w:kern w:val="0"/>
                <w:sz w:val="22"/>
                <w:szCs w:val="22"/>
                <w:highlight w:val="none"/>
              </w:rPr>
              <w:t>签订时间</w:t>
            </w:r>
            <w:r>
              <w:rPr>
                <w:rFonts w:hint="eastAsia" w:ascii="宋体" w:hAnsi="宋体" w:eastAsia="宋体" w:cs="宋体"/>
                <w:kern w:val="0"/>
                <w:sz w:val="22"/>
                <w:szCs w:val="22"/>
                <w:highlight w:val="none"/>
                <w:lang w:val="en-US" w:eastAsia="zh-CN"/>
              </w:rPr>
              <w:t>为准</w:t>
            </w:r>
            <w:r>
              <w:rPr>
                <w:rFonts w:hint="eastAsia" w:ascii="宋体" w:hAnsi="宋体" w:eastAsia="宋体" w:cs="宋体"/>
                <w:kern w:val="0"/>
                <w:sz w:val="22"/>
                <w:szCs w:val="22"/>
                <w:highlight w:val="none"/>
              </w:rPr>
              <w:t>）至今，同品牌同型号维保合同项目案例，每个</w:t>
            </w:r>
            <w:r>
              <w:rPr>
                <w:rFonts w:hint="eastAsia" w:ascii="宋体" w:hAnsi="宋体" w:eastAsia="宋体" w:cs="宋体"/>
                <w:kern w:val="0"/>
                <w:sz w:val="22"/>
                <w:szCs w:val="22"/>
                <w:highlight w:val="none"/>
                <w:lang w:val="en-US" w:eastAsia="zh-CN"/>
              </w:rPr>
              <w:t>合同</w:t>
            </w:r>
            <w:r>
              <w:rPr>
                <w:rFonts w:hint="eastAsia" w:ascii="宋体" w:hAnsi="宋体" w:eastAsia="宋体" w:cs="宋体"/>
                <w:kern w:val="0"/>
                <w:sz w:val="22"/>
                <w:szCs w:val="22"/>
                <w:highlight w:val="none"/>
              </w:rPr>
              <w:t>得1分，最多</w:t>
            </w:r>
            <w:r>
              <w:rPr>
                <w:rFonts w:hint="eastAsia" w:ascii="宋体" w:hAnsi="宋体" w:eastAsia="宋体" w:cs="宋体"/>
                <w:kern w:val="0"/>
                <w:sz w:val="22"/>
                <w:szCs w:val="22"/>
                <w:highlight w:val="none"/>
                <w:lang w:val="en-US" w:eastAsia="zh-CN"/>
              </w:rPr>
              <w:t>3</w:t>
            </w:r>
            <w:r>
              <w:rPr>
                <w:rFonts w:hint="eastAsia" w:ascii="宋体" w:hAnsi="宋体" w:eastAsia="宋体" w:cs="宋体"/>
                <w:kern w:val="0"/>
                <w:sz w:val="22"/>
                <w:szCs w:val="22"/>
                <w:highlight w:val="none"/>
              </w:rPr>
              <w:t>分。提供合同扫描件，否则不得分</w:t>
            </w:r>
            <w:r>
              <w:rPr>
                <w:rFonts w:hint="eastAsia" w:ascii="宋体" w:hAnsi="宋体" w:eastAsia="宋体" w:cs="宋体"/>
                <w:kern w:val="0"/>
                <w:sz w:val="22"/>
                <w:szCs w:val="22"/>
                <w:highlight w:val="none"/>
                <w:lang w:eastAsia="zh-CN"/>
              </w:rPr>
              <w:t>。</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default" w:eastAsia="宋体" w:asciiTheme="minorEastAsia" w:hAnsiTheme="minorEastAsia" w:cstheme="minorEastAsia"/>
          <w:b/>
          <w:bCs/>
          <w:kern w:val="2"/>
          <w:sz w:val="32"/>
          <w:szCs w:val="32"/>
          <w:lang w:val="en-US" w:eastAsia="zh-CN" w:bidi="ar-SA"/>
        </w:rPr>
      </w:pPr>
      <w:r>
        <w:rPr>
          <w:rStyle w:val="16"/>
          <w:rFonts w:hint="eastAsia" w:eastAsia="宋体" w:asciiTheme="minorEastAsia" w:hAnsiTheme="minorEastAsia" w:cstheme="minorEastAsia"/>
          <w:b/>
          <w:bCs/>
          <w:kern w:val="2"/>
          <w:sz w:val="32"/>
          <w:szCs w:val="32"/>
          <w:lang w:val="en-US" w:eastAsia="zh-CN" w:bidi="ar-SA"/>
        </w:rPr>
        <w:t>九、我院正式合同版本</w:t>
      </w:r>
    </w:p>
    <w:p>
      <w:pPr>
        <w:pStyle w:val="11"/>
        <w:rPr>
          <w:rFonts w:hint="eastAsia"/>
          <w:sz w:val="30"/>
          <w:szCs w:val="30"/>
        </w:rPr>
      </w:pPr>
    </w:p>
    <w:p>
      <w:pPr>
        <w:spacing w:line="300" w:lineRule="auto"/>
        <w:ind w:left="883" w:hanging="883"/>
        <w:jc w:val="center"/>
        <w:rPr>
          <w:rFonts w:hint="eastAsia" w:ascii="宋体" w:hAnsi="宋体" w:eastAsia="宋体" w:cs="宋体"/>
          <w:b/>
          <w:bCs/>
          <w:kern w:val="2"/>
          <w:sz w:val="44"/>
          <w:szCs w:val="32"/>
        </w:rPr>
      </w:pPr>
      <w:r>
        <w:rPr>
          <w:rFonts w:hint="eastAsia" w:ascii="宋体" w:hAnsi="宋体" w:eastAsia="宋体" w:cs="宋体"/>
          <w:b/>
          <w:bCs/>
          <w:kern w:val="2"/>
          <w:sz w:val="44"/>
          <w:szCs w:val="32"/>
          <w:lang w:eastAsia="zh-CN"/>
        </w:rPr>
        <w:t>温州市中医院</w:t>
      </w:r>
      <w:r>
        <w:rPr>
          <w:rFonts w:hint="eastAsia" w:ascii="宋体" w:hAnsi="宋体" w:eastAsia="宋体" w:cs="宋体"/>
          <w:b/>
          <w:bCs/>
          <w:kern w:val="2"/>
          <w:sz w:val="44"/>
          <w:szCs w:val="32"/>
        </w:rPr>
        <w:t>维修服务合同</w:t>
      </w:r>
    </w:p>
    <w:p>
      <w:pPr>
        <w:wordWrap w:val="0"/>
        <w:spacing w:line="300" w:lineRule="auto"/>
        <w:ind w:left="883" w:hanging="883"/>
        <w:jc w:val="right"/>
        <w:rPr>
          <w:rFonts w:hint="eastAsia" w:ascii="宋体" w:hAnsi="宋体" w:eastAsia="宋体" w:cs="宋体"/>
          <w:sz w:val="24"/>
          <w:szCs w:val="24"/>
        </w:rPr>
      </w:pPr>
    </w:p>
    <w:p>
      <w:pPr>
        <w:wordWrap w:val="0"/>
        <w:spacing w:line="300" w:lineRule="auto"/>
        <w:ind w:left="883" w:hanging="883"/>
        <w:jc w:val="right"/>
        <w:rPr>
          <w:rFonts w:hint="eastAsia" w:ascii="宋体" w:hAnsi="宋体" w:eastAsia="宋体" w:cs="宋体"/>
          <w:b/>
          <w:sz w:val="24"/>
          <w:szCs w:val="24"/>
          <w:lang w:val="en-US" w:eastAsia="zh-CN"/>
        </w:rPr>
      </w:pPr>
      <w:r>
        <w:rPr>
          <w:rFonts w:hint="eastAsia" w:ascii="宋体" w:hAnsi="宋体" w:eastAsia="宋体" w:cs="宋体"/>
          <w:sz w:val="24"/>
          <w:szCs w:val="24"/>
        </w:rPr>
        <w:t>合同编号：</w:t>
      </w:r>
      <w:r>
        <w:rPr>
          <w:rFonts w:hint="eastAsia" w:ascii="宋体" w:hAnsi="宋体" w:eastAsia="宋体" w:cs="宋体"/>
          <w:sz w:val="24"/>
          <w:szCs w:val="24"/>
          <w:lang w:val="en-US" w:eastAsia="zh-CN"/>
        </w:rPr>
        <w:t xml:space="preserve">     </w:t>
      </w:r>
    </w:p>
    <w:p>
      <w:pPr>
        <w:spacing w:line="460" w:lineRule="atLeast"/>
        <w:rPr>
          <w:rFonts w:hint="eastAsia" w:ascii="Times New Roman" w:hAnsi="Times New Roman" w:eastAsia="新宋体"/>
          <w:bCs/>
          <w:color w:val="000000"/>
          <w:sz w:val="22"/>
          <w:szCs w:val="22"/>
          <w:highlight w:val="none"/>
          <w:u w:val="none"/>
          <w:lang w:eastAsia="zh-CN"/>
        </w:rPr>
      </w:pPr>
      <w:r>
        <w:rPr>
          <w:rFonts w:hint="eastAsia" w:ascii="宋体" w:hAnsi="宋体"/>
          <w:color w:val="000000"/>
          <w:sz w:val="22"/>
          <w:szCs w:val="22"/>
          <w:highlight w:val="none"/>
        </w:rPr>
        <w:t>甲方(采购人）：</w:t>
      </w:r>
      <w:r>
        <w:rPr>
          <w:rFonts w:hint="eastAsia" w:ascii="Times New Roman" w:hAnsi="Times New Roman" w:eastAsia="新宋体"/>
          <w:bCs/>
          <w:color w:val="000000"/>
          <w:sz w:val="22"/>
          <w:szCs w:val="22"/>
          <w:highlight w:val="none"/>
          <w:u w:val="none"/>
          <w:lang w:eastAsia="zh-CN"/>
        </w:rPr>
        <w:t>温州市</w:t>
      </w:r>
      <w:r>
        <w:rPr>
          <w:rFonts w:hint="eastAsia" w:eastAsia="新宋体"/>
          <w:bCs/>
          <w:color w:val="000000"/>
          <w:sz w:val="22"/>
          <w:szCs w:val="22"/>
          <w:highlight w:val="none"/>
          <w:u w:val="none"/>
          <w:lang w:val="en-US" w:eastAsia="zh-CN"/>
        </w:rPr>
        <w:t>中</w:t>
      </w:r>
      <w:r>
        <w:rPr>
          <w:rFonts w:hint="eastAsia" w:ascii="Times New Roman" w:hAnsi="Times New Roman" w:eastAsia="新宋体"/>
          <w:bCs/>
          <w:color w:val="000000"/>
          <w:sz w:val="22"/>
          <w:szCs w:val="22"/>
          <w:highlight w:val="none"/>
          <w:u w:val="none"/>
          <w:lang w:eastAsia="zh-CN"/>
        </w:rPr>
        <w:t>医院</w:t>
      </w:r>
    </w:p>
    <w:p>
      <w:pPr>
        <w:spacing w:line="460" w:lineRule="atLeast"/>
        <w:rPr>
          <w:rFonts w:hint="default" w:ascii="宋体" w:hAnsi="宋体" w:eastAsiaTheme="minorEastAsia"/>
          <w:color w:val="000000"/>
          <w:sz w:val="22"/>
          <w:szCs w:val="22"/>
          <w:highlight w:val="none"/>
          <w:lang w:val="en-US" w:eastAsia="zh-CN"/>
        </w:rPr>
      </w:pPr>
      <w:r>
        <w:rPr>
          <w:rFonts w:hint="eastAsia" w:ascii="宋体" w:hAnsi="宋体"/>
          <w:color w:val="000000"/>
          <w:sz w:val="22"/>
          <w:szCs w:val="22"/>
          <w:highlight w:val="none"/>
        </w:rPr>
        <w:t>乙方（成交供应商）：</w:t>
      </w:r>
      <w:bookmarkStart w:id="0" w:name="_GoBack"/>
      <w:bookmarkEnd w:id="0"/>
    </w:p>
    <w:p>
      <w:pPr>
        <w:spacing w:line="460" w:lineRule="exact"/>
        <w:ind w:firstLine="440" w:firstLineChars="200"/>
        <w:rPr>
          <w:rFonts w:ascii="Times New Roman" w:hAnsi="Times New Roman" w:eastAsia="新宋体"/>
          <w:bCs/>
          <w:color w:val="000000"/>
          <w:sz w:val="22"/>
          <w:szCs w:val="22"/>
          <w:highlight w:val="none"/>
        </w:rPr>
      </w:pPr>
      <w:r>
        <w:rPr>
          <w:rFonts w:hint="eastAsia" w:ascii="Times New Roman" w:hAnsi="Times New Roman" w:eastAsia="新宋体"/>
          <w:bCs/>
          <w:color w:val="000000"/>
          <w:sz w:val="22"/>
          <w:szCs w:val="22"/>
          <w:highlight w:val="none"/>
          <w:u w:val="none"/>
          <w:lang w:eastAsia="zh-CN"/>
        </w:rPr>
        <w:t>温州</w:t>
      </w:r>
      <w:r>
        <w:rPr>
          <w:rFonts w:hint="eastAsia" w:ascii="Times New Roman" w:hAnsi="Times New Roman" w:eastAsia="新宋体"/>
          <w:bCs/>
          <w:color w:val="000000"/>
          <w:sz w:val="22"/>
          <w:szCs w:val="22"/>
          <w:highlight w:val="none"/>
          <w:u w:val="none"/>
          <w:lang w:eastAsia="zh-CN"/>
        </w:rPr>
        <w:t>市</w:t>
      </w:r>
      <w:r>
        <w:rPr>
          <w:rFonts w:hint="eastAsia" w:eastAsia="新宋体"/>
          <w:bCs/>
          <w:color w:val="000000"/>
          <w:sz w:val="22"/>
          <w:szCs w:val="22"/>
          <w:highlight w:val="none"/>
          <w:u w:val="none"/>
          <w:lang w:val="en-US" w:eastAsia="zh-CN"/>
        </w:rPr>
        <w:t>中</w:t>
      </w:r>
      <w:r>
        <w:rPr>
          <w:rFonts w:hint="eastAsia" w:ascii="Times New Roman" w:hAnsi="Times New Roman" w:eastAsia="新宋体"/>
          <w:bCs/>
          <w:color w:val="000000"/>
          <w:sz w:val="22"/>
          <w:szCs w:val="22"/>
          <w:highlight w:val="none"/>
          <w:u w:val="none"/>
          <w:lang w:eastAsia="zh-CN"/>
        </w:rPr>
        <w:t>医院</w:t>
      </w:r>
      <w:r>
        <w:rPr>
          <w:rFonts w:ascii="Times New Roman" w:hAnsi="Times New Roman" w:eastAsia="新宋体"/>
          <w:bCs/>
          <w:color w:val="000000"/>
          <w:sz w:val="22"/>
          <w:szCs w:val="22"/>
          <w:highlight w:val="none"/>
          <w:u w:val="single"/>
        </w:rPr>
        <w:t xml:space="preserve">               </w:t>
      </w:r>
      <w:r>
        <w:rPr>
          <w:rFonts w:ascii="Times New Roman" w:hAnsi="Times New Roman" w:eastAsia="新宋体"/>
          <w:bCs/>
          <w:color w:val="000000"/>
          <w:sz w:val="22"/>
          <w:szCs w:val="22"/>
          <w:highlight w:val="none"/>
        </w:rPr>
        <w:t>（项目名称、编号）在国内以</w:t>
      </w:r>
      <w:r>
        <w:rPr>
          <w:rFonts w:hint="eastAsia" w:ascii="Times New Roman" w:hAnsi="Times New Roman" w:eastAsia="新宋体"/>
          <w:bCs/>
          <w:color w:val="000000"/>
          <w:sz w:val="22"/>
          <w:szCs w:val="22"/>
          <w:highlight w:val="none"/>
          <w:lang w:eastAsia="zh-CN"/>
        </w:rPr>
        <w:t>公开招标</w:t>
      </w:r>
      <w:r>
        <w:rPr>
          <w:rFonts w:hint="eastAsia" w:ascii="Times New Roman" w:hAnsi="Times New Roman" w:eastAsia="新宋体"/>
          <w:bCs/>
          <w:color w:val="000000"/>
          <w:sz w:val="22"/>
          <w:szCs w:val="22"/>
          <w:highlight w:val="none"/>
          <w:lang w:val="en-US" w:eastAsia="zh-CN"/>
        </w:rPr>
        <w:t>方式</w:t>
      </w:r>
      <w:r>
        <w:rPr>
          <w:rFonts w:ascii="Times New Roman" w:hAnsi="Times New Roman" w:eastAsia="新宋体"/>
          <w:bCs/>
          <w:color w:val="000000"/>
          <w:sz w:val="22"/>
          <w:szCs w:val="22"/>
          <w:highlight w:val="none"/>
        </w:rPr>
        <w:t>进行</w:t>
      </w:r>
      <w:r>
        <w:rPr>
          <w:rFonts w:hint="eastAsia" w:ascii="Times New Roman" w:hAnsi="Times New Roman" w:eastAsia="新宋体"/>
          <w:bCs/>
          <w:color w:val="000000"/>
          <w:sz w:val="22"/>
          <w:szCs w:val="22"/>
          <w:highlight w:val="none"/>
          <w:lang w:val="en-US" w:eastAsia="zh-CN"/>
        </w:rPr>
        <w:t>采购</w:t>
      </w:r>
      <w:r>
        <w:rPr>
          <w:rFonts w:ascii="Times New Roman" w:hAnsi="Times New Roman" w:eastAsia="新宋体"/>
          <w:bCs/>
          <w:color w:val="000000"/>
          <w:sz w:val="22"/>
          <w:szCs w:val="22"/>
          <w:highlight w:val="none"/>
        </w:rPr>
        <w:t>，经评标委员会评定</w:t>
      </w:r>
      <w:r>
        <w:rPr>
          <w:rFonts w:ascii="Times New Roman" w:hAnsi="Times New Roman" w:eastAsia="新宋体"/>
          <w:bCs/>
          <w:color w:val="000000"/>
          <w:sz w:val="22"/>
          <w:szCs w:val="22"/>
          <w:highlight w:val="none"/>
          <w:u w:val="single"/>
        </w:rPr>
        <w:t xml:space="preserve">                 </w:t>
      </w:r>
      <w:r>
        <w:rPr>
          <w:rFonts w:ascii="Times New Roman" w:hAnsi="Times New Roman" w:eastAsia="新宋体"/>
          <w:bCs/>
          <w:color w:val="000000"/>
          <w:sz w:val="22"/>
          <w:szCs w:val="22"/>
          <w:highlight w:val="none"/>
        </w:rPr>
        <w:t>（</w:t>
      </w:r>
      <w:r>
        <w:rPr>
          <w:rFonts w:hint="eastAsia" w:ascii="Times New Roman" w:hAnsi="Times New Roman" w:eastAsia="新宋体"/>
          <w:bCs/>
          <w:color w:val="000000"/>
          <w:sz w:val="22"/>
          <w:szCs w:val="22"/>
          <w:highlight w:val="none"/>
          <w:lang w:val="en-US" w:eastAsia="zh-CN"/>
        </w:rPr>
        <w:t>成交供应商</w:t>
      </w:r>
      <w:r>
        <w:rPr>
          <w:rFonts w:ascii="Times New Roman" w:hAnsi="Times New Roman" w:eastAsia="新宋体"/>
          <w:bCs/>
          <w:color w:val="000000"/>
          <w:sz w:val="22"/>
          <w:szCs w:val="22"/>
          <w:highlight w:val="none"/>
        </w:rPr>
        <w:t>名称）为</w:t>
      </w:r>
      <w:r>
        <w:rPr>
          <w:rFonts w:hint="eastAsia" w:ascii="Times New Roman" w:hAnsi="Times New Roman" w:eastAsia="新宋体"/>
          <w:bCs/>
          <w:color w:val="000000"/>
          <w:sz w:val="22"/>
          <w:szCs w:val="22"/>
          <w:highlight w:val="none"/>
          <w:lang w:val="en-US" w:eastAsia="zh-CN"/>
        </w:rPr>
        <w:t>成交供应商</w:t>
      </w:r>
      <w:r>
        <w:rPr>
          <w:rFonts w:ascii="Times New Roman" w:hAnsi="Times New Roman" w:eastAsia="新宋体"/>
          <w:bCs/>
          <w:color w:val="000000"/>
          <w:sz w:val="22"/>
          <w:szCs w:val="22"/>
          <w:highlight w:val="none"/>
        </w:rPr>
        <w:t>。甲、乙双方本着诚信及互利互惠的原则，同意按照下面条款和条件，签署本合同。</w:t>
      </w:r>
    </w:p>
    <w:p>
      <w:pPr>
        <w:spacing w:line="460" w:lineRule="exact"/>
        <w:ind w:firstLine="442" w:firstLineChars="200"/>
        <w:rPr>
          <w:rFonts w:hint="default" w:ascii="Times New Roman" w:hAnsi="Times New Roman" w:eastAsia="新宋体"/>
          <w:b/>
          <w:color w:val="000000"/>
          <w:sz w:val="22"/>
          <w:szCs w:val="22"/>
          <w:highlight w:val="none"/>
          <w:lang w:val="en-US" w:eastAsia="zh-CN"/>
        </w:rPr>
      </w:pPr>
      <w:r>
        <w:rPr>
          <w:rFonts w:hint="eastAsia" w:ascii="Times New Roman" w:hAnsi="Times New Roman" w:eastAsia="新宋体"/>
          <w:b/>
          <w:color w:val="000000"/>
          <w:sz w:val="22"/>
          <w:szCs w:val="22"/>
          <w:highlight w:val="none"/>
          <w:lang w:eastAsia="zh-CN"/>
        </w:rPr>
        <w:t>一</w:t>
      </w:r>
      <w:r>
        <w:rPr>
          <w:rFonts w:ascii="Times New Roman" w:hAnsi="Times New Roman" w:eastAsia="新宋体"/>
          <w:b/>
          <w:color w:val="000000"/>
          <w:sz w:val="22"/>
          <w:szCs w:val="22"/>
          <w:highlight w:val="none"/>
        </w:rPr>
        <w:t>、</w:t>
      </w:r>
      <w:r>
        <w:rPr>
          <w:rFonts w:hint="eastAsia" w:ascii="新宋体" w:hAnsi="新宋体" w:eastAsia="新宋体" w:cs="新宋体"/>
          <w:b/>
          <w:color w:val="auto"/>
          <w:sz w:val="22"/>
          <w:szCs w:val="22"/>
          <w:highlight w:val="none"/>
        </w:rPr>
        <w:t>服务内容</w:t>
      </w:r>
      <w:r>
        <w:rPr>
          <w:rFonts w:hint="eastAsia" w:ascii="新宋体" w:hAnsi="新宋体" w:eastAsia="新宋体" w:cs="新宋体"/>
          <w:b/>
          <w:color w:val="auto"/>
          <w:sz w:val="22"/>
          <w:szCs w:val="22"/>
          <w:highlight w:val="none"/>
          <w:lang w:val="en-US" w:eastAsia="zh-CN"/>
        </w:rPr>
        <w:t>:</w:t>
      </w:r>
    </w:p>
    <w:p>
      <w:pPr>
        <w:spacing w:line="460" w:lineRule="exact"/>
        <w:ind w:firstLine="442" w:firstLineChars="200"/>
        <w:rPr>
          <w:rFonts w:hint="eastAsia" w:ascii="Times New Roman" w:hAnsi="Times New Roman" w:eastAsia="新宋体" w:cs="Times New Roman"/>
          <w:b/>
          <w:color w:val="000000"/>
          <w:sz w:val="22"/>
          <w:szCs w:val="22"/>
          <w:highlight w:val="none"/>
        </w:rPr>
      </w:pPr>
      <w:r>
        <w:rPr>
          <w:rFonts w:hint="eastAsia" w:ascii="Times New Roman" w:hAnsi="Times New Roman" w:eastAsia="新宋体" w:cs="Times New Roman"/>
          <w:b/>
          <w:color w:val="000000"/>
          <w:sz w:val="22"/>
          <w:szCs w:val="22"/>
          <w:highlight w:val="none"/>
          <w:lang w:val="en-US" w:eastAsia="zh-CN"/>
        </w:rPr>
        <w:t>二</w:t>
      </w:r>
      <w:r>
        <w:rPr>
          <w:rFonts w:hint="eastAsia" w:ascii="Times New Roman" w:hAnsi="Times New Roman" w:eastAsia="新宋体" w:cs="Times New Roman"/>
          <w:b/>
          <w:color w:val="000000"/>
          <w:sz w:val="22"/>
          <w:szCs w:val="22"/>
          <w:highlight w:val="none"/>
        </w:rPr>
        <w:t>、 保修设备名称、数量、型号、年限、金额：</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1512"/>
        <w:gridCol w:w="1104"/>
        <w:gridCol w:w="942"/>
        <w:gridCol w:w="841"/>
        <w:gridCol w:w="1205"/>
        <w:gridCol w:w="1179"/>
        <w:gridCol w:w="1033"/>
        <w:gridCol w:w="10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646"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1512"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设备名称</w:t>
            </w:r>
          </w:p>
        </w:tc>
        <w:tc>
          <w:tcPr>
            <w:tcW w:w="1104"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规格型号</w:t>
            </w:r>
          </w:p>
        </w:tc>
        <w:tc>
          <w:tcPr>
            <w:tcW w:w="942"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品牌</w:t>
            </w:r>
          </w:p>
        </w:tc>
        <w:tc>
          <w:tcPr>
            <w:tcW w:w="841"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数量</w:t>
            </w:r>
          </w:p>
        </w:tc>
        <w:tc>
          <w:tcPr>
            <w:tcW w:w="1205"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保修年限</w:t>
            </w:r>
          </w:p>
        </w:tc>
        <w:tc>
          <w:tcPr>
            <w:tcW w:w="1179"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年保修价（万元）</w:t>
            </w:r>
          </w:p>
        </w:tc>
        <w:tc>
          <w:tcPr>
            <w:tcW w:w="1033"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合计</w:t>
            </w:r>
          </w:p>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（万元）</w:t>
            </w:r>
          </w:p>
        </w:tc>
        <w:tc>
          <w:tcPr>
            <w:tcW w:w="1011" w:type="dxa"/>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设备序列号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3" w:hRule="atLeast"/>
          <w:jc w:val="center"/>
        </w:trPr>
        <w:tc>
          <w:tcPr>
            <w:tcW w:w="646"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512"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104"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942"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841"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205"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179"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033"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011"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8" w:hRule="atLeast"/>
          <w:jc w:val="center"/>
        </w:trPr>
        <w:tc>
          <w:tcPr>
            <w:tcW w:w="646"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512"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104"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942"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841"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205"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179"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033"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c>
          <w:tcPr>
            <w:tcW w:w="1011" w:type="dxa"/>
            <w:noWrap w:val="0"/>
            <w:vAlign w:val="top"/>
          </w:tcPr>
          <w:p>
            <w:pPr>
              <w:spacing w:line="460" w:lineRule="exact"/>
              <w:ind w:right="-57" w:rightChars="-27"/>
              <w:jc w:val="left"/>
              <w:rPr>
                <w:rFonts w:hint="eastAsia" w:ascii="新宋体" w:hAnsi="新宋体" w:eastAsia="新宋体" w:cs="新宋体"/>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jc w:val="center"/>
        </w:trPr>
        <w:tc>
          <w:tcPr>
            <w:tcW w:w="2158" w:type="dxa"/>
            <w:gridSpan w:val="2"/>
            <w:noWrap w:val="0"/>
            <w:vAlign w:val="center"/>
          </w:tcPr>
          <w:p>
            <w:pPr>
              <w:spacing w:line="460" w:lineRule="exact"/>
              <w:ind w:right="-57" w:rightChars="-27"/>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总计</w:t>
            </w:r>
          </w:p>
        </w:tc>
        <w:tc>
          <w:tcPr>
            <w:tcW w:w="7315" w:type="dxa"/>
            <w:gridSpan w:val="7"/>
            <w:noWrap w:val="0"/>
            <w:vAlign w:val="center"/>
          </w:tcPr>
          <w:p>
            <w:pPr>
              <w:spacing w:line="460" w:lineRule="exact"/>
              <w:ind w:right="-57" w:rightChars="-27"/>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（大写）：                          （小写）：</w:t>
            </w:r>
          </w:p>
        </w:tc>
      </w:tr>
    </w:tbl>
    <w:p>
      <w:pPr>
        <w:spacing w:line="460" w:lineRule="exact"/>
        <w:ind w:firstLine="442" w:firstLineChars="200"/>
        <w:rPr>
          <w:rFonts w:hint="eastAsia" w:ascii="Times New Roman" w:hAnsi="Times New Roman" w:eastAsia="新宋体" w:cs="Times New Roman"/>
          <w:b/>
          <w:color w:val="000000"/>
          <w:sz w:val="22"/>
          <w:szCs w:val="22"/>
          <w:highlight w:val="none"/>
        </w:rPr>
      </w:pPr>
      <w:r>
        <w:rPr>
          <w:rFonts w:hint="eastAsia" w:ascii="Times New Roman" w:hAnsi="Times New Roman" w:eastAsia="新宋体" w:cs="Times New Roman"/>
          <w:b/>
          <w:color w:val="000000"/>
          <w:sz w:val="22"/>
          <w:szCs w:val="22"/>
          <w:highlight w:val="none"/>
          <w:lang w:val="en-US" w:eastAsia="zh-CN"/>
        </w:rPr>
        <w:t>三</w:t>
      </w:r>
      <w:r>
        <w:rPr>
          <w:rFonts w:hint="eastAsia" w:ascii="Times New Roman" w:hAnsi="Times New Roman" w:eastAsia="新宋体" w:cs="Times New Roman"/>
          <w:b/>
          <w:color w:val="000000"/>
          <w:sz w:val="22"/>
          <w:szCs w:val="22"/>
          <w:highlight w:val="none"/>
        </w:rPr>
        <w:t>、保修期限：</w:t>
      </w:r>
    </w:p>
    <w:p>
      <w:pPr>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1、保修期限自</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年</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月</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 xml:space="preserve">日 至 </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年</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月</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日止。</w:t>
      </w:r>
    </w:p>
    <w:p>
      <w:pPr>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、维修时间：7×24小时</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四、保修类型及内容：</w:t>
      </w:r>
    </w:p>
    <w:p>
      <w:pPr>
        <w:spacing w:line="460" w:lineRule="exact"/>
        <w:ind w:right="-57" w:rightChars="-27"/>
        <w:jc w:val="left"/>
        <w:rPr>
          <w:rFonts w:hint="eastAsia"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 xml:space="preserve">      1、保修类型：</w:t>
      </w:r>
      <w:r>
        <w:rPr>
          <w:rFonts w:hint="eastAsia" w:ascii="新宋体" w:hAnsi="新宋体" w:eastAsia="新宋体" w:cs="新宋体"/>
          <w:color w:val="auto"/>
          <w:sz w:val="22"/>
          <w:szCs w:val="22"/>
          <w:highlight w:val="none"/>
          <w:u w:val="single"/>
        </w:rPr>
        <w:t xml:space="preserve">                        </w:t>
      </w:r>
    </w:p>
    <w:p>
      <w:pPr>
        <w:spacing w:line="460" w:lineRule="exact"/>
        <w:ind w:right="-57" w:rightChars="-27"/>
        <w:jc w:val="left"/>
        <w:rPr>
          <w:rFonts w:hint="eastAsia"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 xml:space="preserve">      2、保修内容：</w:t>
      </w:r>
      <w:r>
        <w:rPr>
          <w:rFonts w:hint="eastAsia" w:ascii="新宋体" w:hAnsi="新宋体" w:eastAsia="新宋体" w:cs="新宋体"/>
          <w:color w:val="auto"/>
          <w:sz w:val="22"/>
          <w:szCs w:val="22"/>
          <w:highlight w:val="none"/>
          <w:u w:val="single"/>
        </w:rPr>
        <w:t xml:space="preserve">                        </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五、保修期内双方权利、义务：</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1、保修期内甲方权利、义务</w:t>
      </w:r>
    </w:p>
    <w:p>
      <w:pPr>
        <w:pStyle w:val="21"/>
        <w:spacing w:line="460" w:lineRule="exact"/>
        <w:ind w:right="-21" w:rightChars="-10"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1）甲方应保证设备电源质量稳定、可靠、并对设备进行日常清洁保养和基本维护工作，做好故障记录。</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2）未经乙方许可，原则上甲方不得自行拆卸，更换机上的线路板、原件或用本机测试其他单位线路板。</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3）保修期间，甲方应该按照设备使用手册的要求正确操作设备，并保证设备的电、气和水的正常供应，同时保证设备开启关闭时的环境处于正常状态。</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4）甲方应按合同约定方式按时向乙方支付保修费用。</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2、保修期内乙方权利、义务</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乙方承担上述设备的保修责任，在接到甲方故障通知后，须给予明确的答复，并做到响应时间</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小时内，到达现场时间</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小时内，由原厂认证合格的专业工程师提供快速优质的现场服务。</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)为保证甲方设备的正常运行，乙方应根据设备运行状况提供每年</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次定期预防性保养，由原厂认证合格的专业工程师根据标准操作流程和测试流程完成。乙方工程师向甲方提供定期保养报告，定期的保养服务检测内容需列出检测清单及指标参数的正常范围、实测值。乙方在预防保养时间之前一周内通知甲方，如因特殊原因导至甲方不能按期执行保养，双方应协商另行约定保养时间。</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)乙方在系统故障维修过程中，必须免费更换保修范围内设备备件、并承担维修期间的往返费用、人工费、维修所需零备件的搬运费、安装调试费、及系统软件升级等一切费用。</w:t>
      </w:r>
    </w:p>
    <w:p>
      <w:pPr>
        <w:pStyle w:val="21"/>
        <w:spacing w:line="460" w:lineRule="exact"/>
        <w:ind w:left="437" w:leftChars="208" w:right="-57" w:rightChars="-27" w:firstLine="220" w:firstLineChars="1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）乙方承诺：一年内开机率保证在</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以上（按日历日计算），即每年停机不超过14天。每超过一天</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保修时间顺延</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天。</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5</w:t>
      </w:r>
      <w:r>
        <w:rPr>
          <w:rFonts w:hint="eastAsia" w:ascii="新宋体" w:hAnsi="新宋体" w:eastAsia="新宋体" w:cs="新宋体"/>
          <w:color w:val="auto"/>
          <w:sz w:val="22"/>
          <w:szCs w:val="22"/>
          <w:highlight w:val="none"/>
        </w:rPr>
        <w:t>)保修期内，每次故障维修及保养结束后一周内必须提供维修、保养记录并交甲方临床医学工程部备案登记。</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6</w:t>
      </w:r>
      <w:r>
        <w:rPr>
          <w:rFonts w:hint="eastAsia" w:ascii="新宋体" w:hAnsi="新宋体" w:eastAsia="新宋体" w:cs="新宋体"/>
          <w:color w:val="auto"/>
          <w:sz w:val="22"/>
          <w:szCs w:val="22"/>
          <w:highlight w:val="none"/>
        </w:rPr>
        <w:t>)乙方维修人员在维修期间必须遵守院方在安全、防盗、停车、周围环境卫生及排放污物的有关规定，否则一切后果自负。</w:t>
      </w:r>
    </w:p>
    <w:p>
      <w:pPr>
        <w:pStyle w:val="21"/>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7</w:t>
      </w:r>
      <w:r>
        <w:rPr>
          <w:rFonts w:hint="eastAsia" w:ascii="新宋体" w:hAnsi="新宋体" w:eastAsia="新宋体" w:cs="新宋体"/>
          <w:color w:val="auto"/>
          <w:sz w:val="22"/>
          <w:szCs w:val="22"/>
          <w:highlight w:val="none"/>
        </w:rPr>
        <w:t>)保修期结束前2个月内，乙方应通知甲方并安排最后1次预防性保养。</w:t>
      </w:r>
    </w:p>
    <w:p>
      <w:pPr>
        <w:spacing w:before="120" w:beforeLines="50" w:line="460" w:lineRule="exact"/>
        <w:ind w:right="-57" w:rightChars="-27" w:firstLine="442" w:firstLineChars="200"/>
        <w:jc w:val="left"/>
        <w:outlineLvl w:val="2"/>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六、保修费及支付方式：</w:t>
      </w:r>
    </w:p>
    <w:p>
      <w:pP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合同签订后</w:t>
      </w:r>
      <w:r>
        <w:rPr>
          <w:rFonts w:hint="eastAsia" w:ascii="新宋体" w:hAnsi="新宋体" w:eastAsia="新宋体" w:cs="新宋体"/>
          <w:color w:val="auto"/>
          <w:sz w:val="22"/>
          <w:szCs w:val="22"/>
          <w:highlight w:val="none"/>
          <w:lang w:val="en-US" w:eastAsia="zh-CN"/>
        </w:rPr>
        <w:t>3个月内</w:t>
      </w:r>
      <w:r>
        <w:rPr>
          <w:rFonts w:hint="eastAsia" w:ascii="新宋体" w:hAnsi="新宋体" w:eastAsia="新宋体" w:cs="新宋体"/>
          <w:color w:val="auto"/>
          <w:sz w:val="22"/>
          <w:szCs w:val="22"/>
          <w:highlight w:val="none"/>
          <w:lang w:eastAsia="zh-CN"/>
        </w:rPr>
        <w:t>甲方</w:t>
      </w:r>
      <w:r>
        <w:rPr>
          <w:rFonts w:hint="eastAsia" w:ascii="新宋体" w:hAnsi="新宋体" w:eastAsia="新宋体" w:cs="新宋体"/>
          <w:color w:val="auto"/>
          <w:sz w:val="22"/>
          <w:szCs w:val="22"/>
          <w:highlight w:val="none"/>
        </w:rPr>
        <w:t>向</w:t>
      </w:r>
      <w:r>
        <w:rPr>
          <w:rFonts w:hint="eastAsia" w:ascii="新宋体" w:hAnsi="新宋体" w:eastAsia="新宋体" w:cs="新宋体"/>
          <w:color w:val="auto"/>
          <w:sz w:val="22"/>
          <w:szCs w:val="22"/>
          <w:highlight w:val="none"/>
          <w:lang w:val="en-US" w:eastAsia="zh-CN"/>
        </w:rPr>
        <w:t>乙方</w:t>
      </w:r>
      <w:r>
        <w:rPr>
          <w:rFonts w:hint="eastAsia" w:ascii="新宋体" w:hAnsi="新宋体" w:eastAsia="新宋体" w:cs="新宋体"/>
          <w:color w:val="auto"/>
          <w:sz w:val="22"/>
          <w:szCs w:val="22"/>
          <w:highlight w:val="none"/>
        </w:rPr>
        <w:t>支付合同总额的</w:t>
      </w:r>
      <w:r>
        <w:rPr>
          <w:rFonts w:hint="eastAsia" w:ascii="新宋体" w:hAnsi="新宋体" w:eastAsia="新宋体" w:cs="新宋体"/>
          <w:color w:val="auto"/>
          <w:sz w:val="22"/>
          <w:szCs w:val="22"/>
          <w:highlight w:val="none"/>
          <w:lang w:val="en-US" w:eastAsia="zh-CN"/>
        </w:rPr>
        <w:t>100</w:t>
      </w:r>
      <w:r>
        <w:rPr>
          <w:rFonts w:hint="eastAsia" w:ascii="新宋体" w:hAnsi="新宋体" w:eastAsia="新宋体" w:cs="新宋体"/>
          <w:color w:val="auto"/>
          <w:sz w:val="22"/>
          <w:szCs w:val="22"/>
          <w:highlight w:val="none"/>
        </w:rPr>
        <w:t>%价款（</w:t>
      </w:r>
      <w:r>
        <w:rPr>
          <w:rFonts w:hint="eastAsia" w:ascii="新宋体" w:hAnsi="新宋体" w:eastAsia="新宋体" w:cs="新宋体"/>
          <w:color w:val="auto"/>
          <w:sz w:val="22"/>
          <w:szCs w:val="22"/>
          <w:highlight w:val="none"/>
          <w:lang w:val="en-US" w:eastAsia="zh-CN"/>
        </w:rPr>
        <w:t>乙</w:t>
      </w:r>
      <w:r>
        <w:rPr>
          <w:rFonts w:hint="eastAsia" w:ascii="新宋体" w:hAnsi="新宋体" w:eastAsia="新宋体" w:cs="新宋体"/>
          <w:color w:val="auto"/>
          <w:sz w:val="22"/>
          <w:szCs w:val="22"/>
          <w:highlight w:val="none"/>
        </w:rPr>
        <w:t>方必须开具合同金额</w:t>
      </w:r>
      <w:r>
        <w:rPr>
          <w:rFonts w:hint="eastAsia" w:ascii="新宋体" w:hAnsi="新宋体" w:eastAsia="新宋体" w:cs="新宋体"/>
          <w:color w:val="auto"/>
          <w:sz w:val="22"/>
          <w:szCs w:val="22"/>
          <w:highlight w:val="none"/>
          <w:lang w:val="en-US" w:eastAsia="zh-CN"/>
        </w:rPr>
        <w:t>100</w:t>
      </w:r>
      <w:r>
        <w:rPr>
          <w:rFonts w:hint="eastAsia" w:ascii="新宋体" w:hAnsi="新宋体" w:eastAsia="新宋体" w:cs="新宋体"/>
          <w:color w:val="auto"/>
          <w:sz w:val="22"/>
          <w:szCs w:val="22"/>
          <w:highlight w:val="none"/>
        </w:rPr>
        <w:t>%的正式税务发票）。</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七、 违约责任：</w:t>
      </w:r>
    </w:p>
    <w:p>
      <w:pPr>
        <w:spacing w:before="120" w:beforeLines="50"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1、由于公认的不可抗力事件造成的损坏，乙方根据实际情况部分或全部免除责任，但</w:t>
      </w:r>
    </w:p>
    <w:p>
      <w:pPr>
        <w:spacing w:line="460" w:lineRule="exact"/>
        <w:ind w:right="-57" w:rightChars="-27"/>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应及时通知甲方。</w:t>
      </w:r>
    </w:p>
    <w:p>
      <w:pPr>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2、因为乙方不履行合同或者履行合同不符合约定给甲方造成损失的，乙方负责赔偿直接损失，该赔偿损失额以当期合同价款为限。</w:t>
      </w:r>
    </w:p>
    <w:p>
      <w:pPr>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3、在合同有效期内，未经乙方认可甲方擅自维修、移机、保养及更换第三方零备件及耗材，乙方有权解除合同。对于合同解除前乙方已提供的服务，甲方仍有义务支付相应款项。</w:t>
      </w:r>
    </w:p>
    <w:p>
      <w:pPr>
        <w:spacing w:line="460" w:lineRule="exact"/>
        <w:ind w:right="-57" w:rightChars="-27" w:firstLine="660" w:firstLineChars="30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4、在执行维修合同期间，如双方终止合同，需经双方协商解决。</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八、 总结考核：</w:t>
      </w:r>
    </w:p>
    <w:p>
      <w:pPr>
        <w:spacing w:line="460" w:lineRule="exact"/>
        <w:ind w:right="-57" w:rightChars="-27"/>
        <w:jc w:val="left"/>
        <w:rPr>
          <w:rFonts w:hint="eastAsia" w:ascii="新宋体" w:hAnsi="新宋体" w:eastAsia="新宋体" w:cs="新宋体"/>
          <w:color w:val="auto"/>
          <w:sz w:val="22"/>
          <w:szCs w:val="22"/>
          <w:highlight w:val="none"/>
        </w:rPr>
      </w:pPr>
      <w:r>
        <w:rPr>
          <w:color w:val="auto"/>
          <w:szCs w:val="21"/>
          <w:highlight w:val="none"/>
        </w:rPr>
        <w:t xml:space="preserve">     </w:t>
      </w:r>
      <w:r>
        <w:rPr>
          <w:rFonts w:hint="eastAsia" w:ascii="新宋体" w:hAnsi="新宋体" w:eastAsia="新宋体" w:cs="新宋体"/>
          <w:color w:val="auto"/>
          <w:sz w:val="22"/>
          <w:szCs w:val="22"/>
          <w:highlight w:val="none"/>
          <w:lang w:val="en-US" w:eastAsia="zh-CN"/>
        </w:rPr>
        <w:t>乙方在每次完成设备维修，保养或者升级等保修任务后，均应在7个工作日内向甲方提交详细工作报告单，每期验收前乙方将盖有乙方有效公章的验收周期内的所有工作报告单一并提交给甲方。报告单的内容将作为甲方对保修服务内容验收的依据</w:t>
      </w:r>
      <w:r>
        <w:rPr>
          <w:rFonts w:hint="eastAsia" w:ascii="新宋体" w:hAnsi="新宋体" w:eastAsia="新宋体" w:cs="新宋体"/>
          <w:color w:val="auto"/>
          <w:sz w:val="22"/>
          <w:szCs w:val="22"/>
          <w:highlight w:val="none"/>
        </w:rPr>
        <w:t>。</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九、本合同生效条件：</w:t>
      </w:r>
    </w:p>
    <w:p>
      <w:pPr>
        <w:numPr>
          <w:ilvl w:val="0"/>
          <w:numId w:val="0"/>
        </w:numPr>
        <w:spacing w:before="120" w:beforeLines="50" w:line="460" w:lineRule="exact"/>
        <w:ind w:right="-57" w:rightChars="-27" w:firstLine="440" w:firstLineChars="200"/>
        <w:jc w:val="left"/>
        <w:outlineLvl w:val="2"/>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本合同一式</w:t>
      </w:r>
      <w:r>
        <w:rPr>
          <w:rFonts w:hint="eastAsia" w:ascii="新宋体" w:hAnsi="新宋体" w:eastAsia="新宋体" w:cs="新宋体"/>
          <w:color w:val="auto"/>
          <w:sz w:val="22"/>
          <w:szCs w:val="22"/>
          <w:highlight w:val="none"/>
          <w:lang w:eastAsia="zh-CN"/>
        </w:rPr>
        <w:t>三</w:t>
      </w:r>
      <w:r>
        <w:rPr>
          <w:rFonts w:hint="eastAsia" w:ascii="新宋体" w:hAnsi="新宋体" w:eastAsia="新宋体" w:cs="新宋体"/>
          <w:color w:val="auto"/>
          <w:sz w:val="22"/>
          <w:szCs w:val="22"/>
          <w:highlight w:val="none"/>
        </w:rPr>
        <w:t>份，甲方贰份，乙方</w:t>
      </w:r>
      <w:r>
        <w:rPr>
          <w:rFonts w:hint="eastAsia" w:ascii="新宋体" w:hAnsi="新宋体" w:eastAsia="新宋体" w:cs="新宋体"/>
          <w:color w:val="auto"/>
          <w:sz w:val="22"/>
          <w:szCs w:val="22"/>
          <w:highlight w:val="none"/>
          <w:lang w:eastAsia="zh-CN"/>
        </w:rPr>
        <w:t>一</w:t>
      </w:r>
      <w:r>
        <w:rPr>
          <w:rFonts w:hint="eastAsia" w:ascii="新宋体" w:hAnsi="新宋体" w:eastAsia="新宋体" w:cs="新宋体"/>
          <w:color w:val="auto"/>
          <w:sz w:val="22"/>
          <w:szCs w:val="22"/>
          <w:highlight w:val="none"/>
        </w:rPr>
        <w:t>份，双方签字盖章后生效。招投标文件、承诺书为本协议书的附件，与本协议具有同等的法律效力。</w:t>
      </w:r>
    </w:p>
    <w:p>
      <w:pPr>
        <w:spacing w:line="460" w:lineRule="exact"/>
        <w:ind w:firstLine="442" w:firstLineChars="200"/>
        <w:rPr>
          <w:rFonts w:hint="eastAsia" w:ascii="Times New Roman" w:hAnsi="Times New Roman" w:eastAsia="新宋体" w:cs="Times New Roman"/>
          <w:b/>
          <w:color w:val="000000"/>
          <w:sz w:val="22"/>
          <w:szCs w:val="22"/>
          <w:highlight w:val="none"/>
          <w:lang w:val="en-US" w:eastAsia="zh-CN"/>
        </w:rPr>
      </w:pPr>
      <w:r>
        <w:rPr>
          <w:rFonts w:hint="eastAsia" w:ascii="Times New Roman" w:hAnsi="Times New Roman" w:eastAsia="新宋体" w:cs="Times New Roman"/>
          <w:b/>
          <w:color w:val="000000"/>
          <w:sz w:val="22"/>
          <w:szCs w:val="22"/>
          <w:highlight w:val="none"/>
          <w:lang w:val="en-US" w:eastAsia="zh-CN"/>
        </w:rPr>
        <w:t>十、其他</w:t>
      </w:r>
    </w:p>
    <w:p>
      <w:pPr>
        <w:numPr>
          <w:ilvl w:val="0"/>
          <w:numId w:val="0"/>
        </w:numPr>
        <w:spacing w:before="120" w:beforeLines="50" w:line="460" w:lineRule="exact"/>
        <w:ind w:right="-57" w:rightChars="-27" w:firstLine="440" w:firstLineChars="200"/>
        <w:jc w:val="left"/>
        <w:outlineLvl w:val="2"/>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双方在执行合同中所发生的一切争议，应通过协商解决。如协商不成，双方一致同意提交甲方注册地人民法院通过诉讼解决。</w:t>
      </w:r>
    </w:p>
    <w:p>
      <w:pPr>
        <w:spacing w:line="360" w:lineRule="auto"/>
        <w:rPr>
          <w:rFonts w:hint="eastAsia" w:ascii="宋体" w:hAnsi="宋体"/>
          <w:szCs w:val="21"/>
          <w:highlight w:val="none"/>
        </w:rPr>
      </w:pPr>
    </w:p>
    <w:p>
      <w:pPr>
        <w:spacing w:line="360" w:lineRule="auto"/>
        <w:rPr>
          <w:rFonts w:hint="eastAsia" w:ascii="宋体" w:hAnsi="宋体"/>
          <w:szCs w:val="21"/>
          <w:highlight w:val="none"/>
        </w:rPr>
      </w:pPr>
      <w:r>
        <w:rPr>
          <w:rFonts w:hint="eastAsia" w:ascii="宋体" w:hAnsi="宋体"/>
          <w:szCs w:val="21"/>
          <w:highlight w:val="none"/>
        </w:rPr>
        <w:t>甲    方：</w:t>
      </w:r>
      <w:r>
        <w:rPr>
          <w:rFonts w:hint="eastAsia" w:ascii="宋体" w:hAnsi="宋体"/>
          <w:szCs w:val="21"/>
          <w:highlight w:val="none"/>
          <w:lang w:val="en-US" w:eastAsia="zh-CN"/>
        </w:rPr>
        <w:t xml:space="preserve">                           </w:t>
      </w: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乙  方：</w:t>
      </w:r>
    </w:p>
    <w:p>
      <w:pPr>
        <w:spacing w:line="360" w:lineRule="auto"/>
        <w:rPr>
          <w:rFonts w:hint="eastAsia" w:ascii="宋体" w:hAnsi="宋体"/>
          <w:szCs w:val="21"/>
          <w:highlight w:val="none"/>
        </w:rPr>
      </w:pPr>
      <w:r>
        <w:rPr>
          <w:rFonts w:hint="eastAsia" w:ascii="宋体" w:hAnsi="宋体"/>
          <w:szCs w:val="21"/>
          <w:highlight w:val="none"/>
        </w:rPr>
        <w:t>开户银行：                                    开户银行：</w:t>
      </w:r>
    </w:p>
    <w:p>
      <w:pPr>
        <w:spacing w:line="360" w:lineRule="auto"/>
        <w:rPr>
          <w:rFonts w:hint="eastAsia" w:ascii="宋体" w:hAnsi="宋体"/>
          <w:szCs w:val="21"/>
          <w:highlight w:val="none"/>
        </w:rPr>
      </w:pPr>
      <w:r>
        <w:rPr>
          <w:rFonts w:hint="eastAsia" w:ascii="宋体" w:hAnsi="宋体"/>
          <w:szCs w:val="21"/>
          <w:highlight w:val="none"/>
        </w:rPr>
        <w:t>单位账户：                                    公司账户：</w:t>
      </w:r>
    </w:p>
    <w:p>
      <w:pPr>
        <w:spacing w:line="360" w:lineRule="auto"/>
        <w:rPr>
          <w:rFonts w:hint="eastAsia" w:ascii="宋体" w:hAnsi="宋体"/>
          <w:szCs w:val="21"/>
          <w:highlight w:val="none"/>
        </w:rPr>
      </w:pPr>
      <w:r>
        <w:rPr>
          <w:rFonts w:hint="eastAsia" w:ascii="宋体" w:hAnsi="宋体"/>
          <w:szCs w:val="21"/>
          <w:highlight w:val="none"/>
        </w:rPr>
        <w:t>联系电话：                                    联系电话：</w:t>
      </w:r>
    </w:p>
    <w:p>
      <w:pPr>
        <w:spacing w:line="360" w:lineRule="auto"/>
        <w:rPr>
          <w:rFonts w:hint="eastAsia" w:ascii="宋体" w:hAnsi="宋体"/>
          <w:szCs w:val="21"/>
          <w:highlight w:val="none"/>
        </w:rPr>
      </w:pPr>
      <w:r>
        <w:rPr>
          <w:rFonts w:hint="eastAsia" w:ascii="宋体" w:hAnsi="宋体"/>
          <w:szCs w:val="21"/>
          <w:highlight w:val="none"/>
        </w:rPr>
        <w:t>甲方代表签字：                                乙方代表签字：</w:t>
      </w:r>
    </w:p>
    <w:p>
      <w:r>
        <w:rPr>
          <w:rFonts w:hint="eastAsia" w:ascii="宋体" w:hAnsi="宋体"/>
          <w:szCs w:val="21"/>
          <w:highlight w:val="none"/>
        </w:rPr>
        <w:t>日    期：                                    日    期：</w:t>
      </w:r>
    </w:p>
    <w:p>
      <w:pPr>
        <w:jc w:val="center"/>
        <w:rPr>
          <w:rFonts w:hint="eastAsia"/>
          <w:b/>
          <w:sz w:val="36"/>
          <w:szCs w:val="36"/>
        </w:rPr>
      </w:pPr>
    </w:p>
    <w:p>
      <w:pPr>
        <w:jc w:val="center"/>
        <w:rPr>
          <w:rFonts w:hint="eastAsia"/>
          <w:b/>
          <w:sz w:val="36"/>
          <w:szCs w:val="36"/>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22"/>
          <w:szCs w:val="22"/>
        </w:rPr>
      </w:pPr>
      <w:r>
        <w:rPr>
          <w:rFonts w:ascii="Calibri" w:hAnsi="Calibri" w:eastAsia="宋体" w:cs="Times New Roman"/>
          <w:sz w:val="22"/>
          <w:szCs w:val="22"/>
        </w:rPr>
        <w:t>甲方</w:t>
      </w:r>
      <w:r>
        <w:rPr>
          <w:rFonts w:ascii="Calibri" w:hAnsi="Calibri" w:eastAsia="宋体" w:cs="Times New Roman"/>
          <w:bCs/>
          <w:sz w:val="22"/>
          <w:szCs w:val="22"/>
        </w:rPr>
        <w:t>：</w:t>
      </w:r>
      <w:r>
        <w:rPr>
          <w:rFonts w:hint="eastAsia" w:ascii="Calibri" w:hAnsi="Calibri" w:eastAsia="宋体" w:cs="Times New Roman"/>
          <w:bCs/>
          <w:sz w:val="22"/>
          <w:szCs w:val="22"/>
        </w:rPr>
        <w:t>温州市中医院</w:t>
      </w:r>
    </w:p>
    <w:p>
      <w:pPr>
        <w:spacing w:line="440" w:lineRule="exact"/>
        <w:rPr>
          <w:rFonts w:hint="eastAsia" w:ascii="Calibri" w:hAnsi="Calibri" w:eastAsia="宋体" w:cs="Times New Roman"/>
          <w:bCs/>
          <w:sz w:val="22"/>
          <w:szCs w:val="22"/>
        </w:rPr>
      </w:pPr>
      <w:r>
        <w:rPr>
          <w:rFonts w:ascii="Calibri" w:hAnsi="Calibri" w:eastAsia="宋体" w:cs="Times New Roman"/>
          <w:sz w:val="22"/>
          <w:szCs w:val="22"/>
        </w:rPr>
        <w:t>乙方</w:t>
      </w:r>
      <w:r>
        <w:rPr>
          <w:rFonts w:ascii="Calibri" w:hAnsi="Calibri" w:eastAsia="宋体" w:cs="Times New Roman"/>
          <w:bCs/>
          <w:sz w:val="22"/>
          <w:szCs w:val="22"/>
        </w:rPr>
        <w:t>：</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为进一步加强医疗卫生行风建设，规范医疗卫生机构</w:t>
      </w:r>
      <w:r>
        <w:rPr>
          <w:rFonts w:hint="eastAsia" w:ascii="Calibri" w:hAnsi="Calibri" w:eastAsia="宋体" w:cs="Times New Roman"/>
          <w:bCs/>
          <w:sz w:val="22"/>
          <w:szCs w:val="22"/>
        </w:rPr>
        <w:t>各类</w:t>
      </w:r>
      <w:r>
        <w:rPr>
          <w:rFonts w:ascii="Calibri" w:hAnsi="Calibri" w:eastAsia="宋体" w:cs="Times New Roman"/>
          <w:bCs/>
          <w:sz w:val="22"/>
          <w:szCs w:val="22"/>
        </w:rPr>
        <w:t>购销行为，有效防范商业贿赂行为，营造公平交易、诚实守信的</w:t>
      </w:r>
      <w:r>
        <w:rPr>
          <w:rFonts w:hint="eastAsia" w:ascii="Calibri" w:hAnsi="Calibri" w:eastAsia="宋体" w:cs="Times New Roman"/>
          <w:bCs/>
          <w:sz w:val="22"/>
          <w:szCs w:val="22"/>
        </w:rPr>
        <w:t>“清廉医院”</w:t>
      </w:r>
      <w:r>
        <w:rPr>
          <w:rFonts w:ascii="Calibri" w:hAnsi="Calibri" w:eastAsia="宋体" w:cs="Times New Roman"/>
          <w:bCs/>
          <w:sz w:val="22"/>
          <w:szCs w:val="22"/>
        </w:rPr>
        <w:t>购销环境，经甲、乙双方协商，同意签订本合同，并共同遵守：</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一、甲乙双方按照《</w:t>
      </w:r>
      <w:r>
        <w:rPr>
          <w:rFonts w:hint="eastAsia" w:ascii="Calibri" w:hAnsi="Calibri" w:eastAsia="宋体" w:cs="Times New Roman"/>
          <w:bCs/>
          <w:sz w:val="22"/>
          <w:szCs w:val="22"/>
        </w:rPr>
        <w:t>民法典</w:t>
      </w:r>
      <w:r>
        <w:rPr>
          <w:rFonts w:ascii="Calibri" w:hAnsi="Calibri" w:eastAsia="宋体" w:cs="Times New Roman"/>
          <w:bCs/>
          <w:sz w:val="22"/>
          <w:szCs w:val="22"/>
        </w:rPr>
        <w:t>》</w:t>
      </w:r>
      <w:r>
        <w:rPr>
          <w:rFonts w:hint="eastAsia" w:ascii="Calibri" w:hAnsi="Calibri" w:eastAsia="宋体" w:cs="Times New Roman"/>
          <w:bCs/>
          <w:sz w:val="22"/>
          <w:szCs w:val="22"/>
        </w:rPr>
        <w:t>等相关法规要求，约定</w:t>
      </w:r>
      <w:r>
        <w:rPr>
          <w:rFonts w:ascii="Calibri" w:hAnsi="Calibri" w:eastAsia="宋体" w:cs="Times New Roman"/>
          <w:bCs/>
          <w:sz w:val="22"/>
          <w:szCs w:val="22"/>
        </w:rPr>
        <w:t>购销</w:t>
      </w:r>
      <w:r>
        <w:rPr>
          <w:rFonts w:hint="eastAsia" w:ascii="Calibri" w:hAnsi="Calibri" w:eastAsia="宋体" w:cs="Times New Roman"/>
          <w:bCs/>
          <w:sz w:val="22"/>
          <w:szCs w:val="22"/>
        </w:rPr>
        <w:t>包括但不限于</w:t>
      </w:r>
      <w:r>
        <w:rPr>
          <w:rFonts w:ascii="Calibri" w:hAnsi="Calibri" w:eastAsia="宋体" w:cs="Times New Roman"/>
          <w:bCs/>
          <w:sz w:val="22"/>
          <w:szCs w:val="22"/>
        </w:rPr>
        <w:t>药品、设备、耗材</w:t>
      </w:r>
      <w:r>
        <w:rPr>
          <w:rFonts w:hint="eastAsia" w:ascii="Calibri" w:hAnsi="Calibri" w:eastAsia="宋体" w:cs="Times New Roman"/>
          <w:bCs/>
          <w:sz w:val="22"/>
          <w:szCs w:val="22"/>
        </w:rPr>
        <w:t>、维保</w:t>
      </w:r>
      <w:r>
        <w:rPr>
          <w:rFonts w:ascii="Calibri" w:hAnsi="Calibri" w:eastAsia="宋体" w:cs="Times New Roman"/>
          <w:bCs/>
          <w:sz w:val="22"/>
          <w:szCs w:val="22"/>
        </w:rPr>
        <w:t>等</w:t>
      </w:r>
      <w:r>
        <w:rPr>
          <w:rFonts w:hint="eastAsia" w:ascii="Calibri" w:hAnsi="Calibri" w:eastAsia="宋体" w:cs="Times New Roman"/>
          <w:bCs/>
          <w:sz w:val="22"/>
          <w:szCs w:val="22"/>
        </w:rPr>
        <w:t>货物或服务</w:t>
      </w:r>
      <w:r>
        <w:rPr>
          <w:rFonts w:ascii="Calibri" w:hAnsi="Calibri" w:eastAsia="宋体" w:cs="Times New Roman"/>
          <w:bCs/>
          <w:sz w:val="22"/>
          <w:szCs w:val="22"/>
        </w:rPr>
        <w:t>。</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二、甲方应当严格执行合同验收、入库制度，对采购产品及发票进行查验，不得违反有关规定合同外采购、违价采购或从非规定渠道采购。</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四、严禁甲方工作人员利用任何途径和方式，为乙方统计医师个人及临床科室有关医药产品用量信息，或为乙方统计提供便利。</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五、乙方不得以回扣、宴请等方式影响甲方工作人员采购</w:t>
      </w:r>
      <w:r>
        <w:rPr>
          <w:rFonts w:hint="eastAsia" w:ascii="Calibri" w:hAnsi="Calibri" w:eastAsia="宋体" w:cs="Times New Roman"/>
          <w:bCs/>
          <w:sz w:val="22"/>
          <w:szCs w:val="22"/>
        </w:rPr>
        <w:t>或使用</w:t>
      </w:r>
      <w:r>
        <w:rPr>
          <w:rFonts w:ascii="Calibri" w:hAnsi="Calibri" w:eastAsia="宋体" w:cs="Times New Roman"/>
          <w:bCs/>
          <w:sz w:val="22"/>
          <w:szCs w:val="22"/>
        </w:rPr>
        <w:t>产品的选择权，不得在学术活动中提供旅游、超标准支付食宿费用。</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六、乙方指定</w:t>
      </w:r>
      <w:r>
        <w:rPr>
          <w:rFonts w:ascii="Calibri" w:hAnsi="Calibri" w:eastAsia="宋体" w:cs="Times New Roman"/>
          <w:bCs/>
          <w:sz w:val="22"/>
          <w:szCs w:val="22"/>
          <w:u w:val="single"/>
        </w:rPr>
        <w:t xml:space="preserve">                        </w:t>
      </w:r>
      <w:r>
        <w:rPr>
          <w:rFonts w:ascii="Calibri" w:hAnsi="Calibri" w:eastAsia="宋体" w:cs="Times New Roman"/>
          <w:bCs/>
          <w:sz w:val="22"/>
          <w:szCs w:val="22"/>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22"/>
          <w:szCs w:val="22"/>
          <w:shd w:val="clear" w:color="auto" w:fill="FFFFFF"/>
        </w:rPr>
        <w:t>（国卫法制发〔2013〕50号）</w:t>
      </w:r>
      <w:r>
        <w:rPr>
          <w:rFonts w:hint="eastAsia" w:ascii="Calibri" w:hAnsi="Calibri" w:eastAsia="宋体" w:cs="Times New Roman"/>
          <w:bCs/>
          <w:sz w:val="22"/>
          <w:szCs w:val="22"/>
          <w:shd w:val="clear" w:color="auto" w:fill="FFFFFF"/>
        </w:rPr>
        <w:t>及《关于印发医疗机构工作人员廉洁从业九项准则的通知》（国卫医发〔2021〕37号）</w:t>
      </w:r>
      <w:r>
        <w:rPr>
          <w:rFonts w:ascii="Calibri" w:hAnsi="Calibri" w:eastAsia="宋体" w:cs="Times New Roman"/>
          <w:bCs/>
          <w:sz w:val="22"/>
          <w:szCs w:val="22"/>
        </w:rPr>
        <w:t>相关规定处理。</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八、本合同作为购销合同的重要组成部分，与购销合同一并执行，具有同等的法律效力。</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九、本合同一式三份，甲、乙双方各执一份，甲方纪检监察部门执一份，并从签订之日起生效。</w:t>
      </w:r>
    </w:p>
    <w:p>
      <w:pPr>
        <w:spacing w:line="440" w:lineRule="exact"/>
        <w:rPr>
          <w:rFonts w:ascii="Calibri" w:hAnsi="Calibri" w:eastAsia="宋体" w:cs="Times New Roman"/>
          <w:bCs/>
          <w:sz w:val="22"/>
          <w:szCs w:val="22"/>
        </w:rPr>
      </w:pP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甲方（盖章）：                     </w:t>
      </w:r>
      <w:r>
        <w:rPr>
          <w:rFonts w:hint="eastAsia" w:ascii="Calibri" w:hAnsi="Calibri" w:eastAsia="宋体" w:cs="Times New Roman"/>
          <w:bCs/>
          <w:sz w:val="22"/>
          <w:szCs w:val="22"/>
        </w:rPr>
        <w:t xml:space="preserve">       </w:t>
      </w:r>
      <w:r>
        <w:rPr>
          <w:rFonts w:ascii="Calibri" w:hAnsi="Calibri" w:eastAsia="宋体" w:cs="Times New Roman"/>
          <w:bCs/>
          <w:sz w:val="22"/>
          <w:szCs w:val="22"/>
        </w:rPr>
        <w:t>乙方（盖章）：</w:t>
      </w: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法定代表人（负责人）：             </w:t>
      </w:r>
      <w:r>
        <w:rPr>
          <w:rFonts w:hint="eastAsia" w:ascii="Calibri" w:hAnsi="Calibri" w:eastAsia="宋体" w:cs="Times New Roman"/>
          <w:bCs/>
          <w:sz w:val="22"/>
          <w:szCs w:val="22"/>
        </w:rPr>
        <w:t xml:space="preserve">       </w:t>
      </w:r>
      <w:r>
        <w:rPr>
          <w:rFonts w:ascii="Calibri" w:hAnsi="Calibri" w:eastAsia="宋体" w:cs="Times New Roman"/>
          <w:bCs/>
          <w:sz w:val="22"/>
          <w:szCs w:val="22"/>
        </w:rPr>
        <w:t>法定代表人（负责人）：</w:t>
      </w: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经办人签名：                     </w:t>
      </w:r>
      <w:r>
        <w:rPr>
          <w:rFonts w:hint="eastAsia" w:ascii="Calibri" w:hAnsi="Calibri" w:eastAsia="宋体" w:cs="Times New Roman"/>
          <w:bCs/>
          <w:sz w:val="22"/>
          <w:szCs w:val="22"/>
        </w:rPr>
        <w:t xml:space="preserve">       </w:t>
      </w:r>
      <w:r>
        <w:rPr>
          <w:rFonts w:ascii="Calibri" w:hAnsi="Calibri" w:eastAsia="宋体" w:cs="Times New Roman"/>
          <w:bCs/>
          <w:sz w:val="22"/>
          <w:szCs w:val="22"/>
        </w:rPr>
        <w:t xml:space="preserve"> 经办人签名：</w:t>
      </w:r>
    </w:p>
    <w:p>
      <w:pPr>
        <w:spacing w:line="440" w:lineRule="exact"/>
        <w:ind w:firstLine="550" w:firstLineChars="250"/>
        <w:rPr>
          <w:rFonts w:ascii="Calibri" w:hAnsi="Calibri" w:eastAsia="宋体" w:cs="Times New Roman"/>
          <w:sz w:val="18"/>
          <w:szCs w:val="24"/>
        </w:rPr>
      </w:pPr>
      <w:r>
        <w:rPr>
          <w:rFonts w:ascii="Calibri" w:hAnsi="Calibri" w:eastAsia="宋体" w:cs="Times New Roman"/>
          <w:bCs/>
          <w:sz w:val="22"/>
          <w:szCs w:val="22"/>
        </w:rPr>
        <w:t xml:space="preserve">年   月   日                      </w:t>
      </w:r>
      <w:r>
        <w:rPr>
          <w:rFonts w:hint="eastAsia" w:ascii="Calibri" w:hAnsi="Calibri" w:eastAsia="宋体" w:cs="Times New Roman"/>
          <w:bCs/>
          <w:sz w:val="22"/>
          <w:szCs w:val="22"/>
        </w:rPr>
        <w:t xml:space="preserve">       </w:t>
      </w:r>
      <w:r>
        <w:rPr>
          <w:rFonts w:ascii="Calibri" w:hAnsi="Calibri" w:eastAsia="宋体" w:cs="Times New Roman"/>
          <w:bCs/>
          <w:sz w:val="22"/>
          <w:szCs w:val="22"/>
        </w:rPr>
        <w:t xml:space="preserve"> 年   月  日</w:t>
      </w:r>
    </w:p>
    <w:p>
      <w:pPr>
        <w:jc w:val="center"/>
        <w:rPr>
          <w:rFonts w:asciiTheme="minorEastAsia" w:hAnsiTheme="minorEastAsia"/>
          <w:sz w:val="20"/>
          <w:szCs w:val="17"/>
        </w:rPr>
      </w:pP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BAE1D"/>
    <w:multiLevelType w:val="singleLevel"/>
    <w:tmpl w:val="11BBAE1D"/>
    <w:lvl w:ilvl="0" w:tentative="0">
      <w:start w:val="1"/>
      <w:numFmt w:val="chineseCounting"/>
      <w:suff w:val="nothing"/>
      <w:lvlText w:val="%1、"/>
      <w:lvlJc w:val="left"/>
      <w:rPr>
        <w:rFonts w:hint="eastAsia"/>
      </w:rPr>
    </w:lvl>
  </w:abstractNum>
  <w:abstractNum w:abstractNumId="1">
    <w:nsid w:val="1CFCF95C"/>
    <w:multiLevelType w:val="singleLevel"/>
    <w:tmpl w:val="1CFCF95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1E94947"/>
    <w:rsid w:val="02B15ED7"/>
    <w:rsid w:val="032B7EBE"/>
    <w:rsid w:val="037819C8"/>
    <w:rsid w:val="04165086"/>
    <w:rsid w:val="06486B0D"/>
    <w:rsid w:val="079468F0"/>
    <w:rsid w:val="088815A9"/>
    <w:rsid w:val="0A277157"/>
    <w:rsid w:val="0A323667"/>
    <w:rsid w:val="0B691EBF"/>
    <w:rsid w:val="0BDB7828"/>
    <w:rsid w:val="0D3C3F90"/>
    <w:rsid w:val="0D6B27A0"/>
    <w:rsid w:val="0D737863"/>
    <w:rsid w:val="10827943"/>
    <w:rsid w:val="11D15B1C"/>
    <w:rsid w:val="11D56F8A"/>
    <w:rsid w:val="12531874"/>
    <w:rsid w:val="129A029D"/>
    <w:rsid w:val="12C9410A"/>
    <w:rsid w:val="14C02644"/>
    <w:rsid w:val="157B401A"/>
    <w:rsid w:val="165B3C1A"/>
    <w:rsid w:val="17453125"/>
    <w:rsid w:val="184F31D7"/>
    <w:rsid w:val="1A2E6DE6"/>
    <w:rsid w:val="1AF00DF9"/>
    <w:rsid w:val="1D0D35E6"/>
    <w:rsid w:val="1D4821A9"/>
    <w:rsid w:val="202B56B1"/>
    <w:rsid w:val="22723315"/>
    <w:rsid w:val="228466B2"/>
    <w:rsid w:val="22CF7097"/>
    <w:rsid w:val="232E51F6"/>
    <w:rsid w:val="23884864"/>
    <w:rsid w:val="24C52651"/>
    <w:rsid w:val="27E45486"/>
    <w:rsid w:val="29B74961"/>
    <w:rsid w:val="2B057E38"/>
    <w:rsid w:val="2B3B72AD"/>
    <w:rsid w:val="2BA52826"/>
    <w:rsid w:val="2D7F5632"/>
    <w:rsid w:val="2E46068D"/>
    <w:rsid w:val="2EB05F76"/>
    <w:rsid w:val="2F3C6CF1"/>
    <w:rsid w:val="2FBD42B3"/>
    <w:rsid w:val="30D412A1"/>
    <w:rsid w:val="30E84F1F"/>
    <w:rsid w:val="316641F0"/>
    <w:rsid w:val="31BF6098"/>
    <w:rsid w:val="31F8416E"/>
    <w:rsid w:val="32CE7A3F"/>
    <w:rsid w:val="33951D5C"/>
    <w:rsid w:val="339709FC"/>
    <w:rsid w:val="34117E05"/>
    <w:rsid w:val="351B0D6F"/>
    <w:rsid w:val="35633FD8"/>
    <w:rsid w:val="359D6999"/>
    <w:rsid w:val="37C66C9B"/>
    <w:rsid w:val="39BD6D12"/>
    <w:rsid w:val="3BB420F5"/>
    <w:rsid w:val="3DB75172"/>
    <w:rsid w:val="3DC91E59"/>
    <w:rsid w:val="3F1B3C4A"/>
    <w:rsid w:val="402E62DF"/>
    <w:rsid w:val="402F4957"/>
    <w:rsid w:val="405108FA"/>
    <w:rsid w:val="4136403A"/>
    <w:rsid w:val="41EF774F"/>
    <w:rsid w:val="42660058"/>
    <w:rsid w:val="43824C1A"/>
    <w:rsid w:val="449C5243"/>
    <w:rsid w:val="449E2D2B"/>
    <w:rsid w:val="46094A05"/>
    <w:rsid w:val="460A3EB2"/>
    <w:rsid w:val="477517FF"/>
    <w:rsid w:val="479F5F87"/>
    <w:rsid w:val="497E50E4"/>
    <w:rsid w:val="49CC2349"/>
    <w:rsid w:val="4A254910"/>
    <w:rsid w:val="4AA864D5"/>
    <w:rsid w:val="4B956476"/>
    <w:rsid w:val="4D3D3121"/>
    <w:rsid w:val="4DCB17F7"/>
    <w:rsid w:val="529E0326"/>
    <w:rsid w:val="53423D16"/>
    <w:rsid w:val="534B0A6F"/>
    <w:rsid w:val="539D45B7"/>
    <w:rsid w:val="53CA557A"/>
    <w:rsid w:val="545A32FC"/>
    <w:rsid w:val="547D6E0D"/>
    <w:rsid w:val="55382DBA"/>
    <w:rsid w:val="55596194"/>
    <w:rsid w:val="584110E8"/>
    <w:rsid w:val="587C329C"/>
    <w:rsid w:val="595B205E"/>
    <w:rsid w:val="5A4777C5"/>
    <w:rsid w:val="5A6E001E"/>
    <w:rsid w:val="5B7052C0"/>
    <w:rsid w:val="5CD36D91"/>
    <w:rsid w:val="5DEC7787"/>
    <w:rsid w:val="5DFE7766"/>
    <w:rsid w:val="60F93F09"/>
    <w:rsid w:val="669F4579"/>
    <w:rsid w:val="683E0693"/>
    <w:rsid w:val="685E7C65"/>
    <w:rsid w:val="68AB5C34"/>
    <w:rsid w:val="698F00A6"/>
    <w:rsid w:val="6A800692"/>
    <w:rsid w:val="6BF3478F"/>
    <w:rsid w:val="6DE10695"/>
    <w:rsid w:val="6E0B49D4"/>
    <w:rsid w:val="6E6658CD"/>
    <w:rsid w:val="6E7E61B3"/>
    <w:rsid w:val="6F1A55B9"/>
    <w:rsid w:val="711B411C"/>
    <w:rsid w:val="7392213F"/>
    <w:rsid w:val="739F5CC0"/>
    <w:rsid w:val="73F75A9D"/>
    <w:rsid w:val="748F3673"/>
    <w:rsid w:val="74984B48"/>
    <w:rsid w:val="755C54CB"/>
    <w:rsid w:val="772F4719"/>
    <w:rsid w:val="773504DF"/>
    <w:rsid w:val="78667688"/>
    <w:rsid w:val="7A192AA7"/>
    <w:rsid w:val="7B395E66"/>
    <w:rsid w:val="7C0B3B0A"/>
    <w:rsid w:val="7C4831AB"/>
    <w:rsid w:val="7E352054"/>
    <w:rsid w:val="7E4702F4"/>
    <w:rsid w:val="7E677C6B"/>
    <w:rsid w:val="7FD75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rPr>
      <w:rFonts w:ascii="Calibri" w:hAnsi="Calibri" w:eastAsia="宋体" w:cs="Times New Roman"/>
    </w:rPr>
  </w:style>
  <w:style w:type="paragraph" w:styleId="3">
    <w:name w:val="Body Text"/>
    <w:basedOn w:val="1"/>
    <w:next w:val="2"/>
    <w:qFormat/>
    <w:uiPriority w:val="1"/>
    <w:pPr>
      <w:autoSpaceDE w:val="0"/>
      <w:autoSpaceDN w:val="0"/>
      <w:jc w:val="left"/>
    </w:pPr>
    <w:rPr>
      <w:rFonts w:ascii="宋体" w:hAnsi="宋体" w:eastAsia="宋体" w:cs="宋体"/>
      <w:kern w:val="0"/>
      <w:sz w:val="17"/>
      <w:szCs w:val="17"/>
      <w:lang w:val="zh-CN" w:bidi="zh-CN"/>
    </w:rPr>
  </w:style>
  <w:style w:type="paragraph" w:styleId="5">
    <w:name w:val="Body Text Indent"/>
    <w:basedOn w:val="1"/>
    <w:next w:val="6"/>
    <w:qFormat/>
    <w:uiPriority w:val="99"/>
    <w:pPr>
      <w:ind w:left="480" w:hanging="480" w:hangingChars="200"/>
    </w:pPr>
    <w:rPr>
      <w:sz w:val="24"/>
      <w:szCs w:val="24"/>
    </w:rPr>
  </w:style>
  <w:style w:type="paragraph" w:styleId="6">
    <w:name w:val="envelope return"/>
    <w:basedOn w:val="1"/>
    <w:unhideWhenUsed/>
    <w:qFormat/>
    <w:uiPriority w:val="99"/>
    <w:pPr>
      <w:snapToGrid w:val="0"/>
    </w:pPr>
    <w:rPr>
      <w:rFonts w:ascii="Arial" w:hAnsi="Arial"/>
    </w:rPr>
  </w:style>
  <w:style w:type="paragraph" w:styleId="7">
    <w:name w:val="Plain Text"/>
    <w:basedOn w:val="1"/>
    <w:qFormat/>
    <w:uiPriority w:val="0"/>
    <w:rPr>
      <w:rFonts w:ascii="宋体" w:hAnsi="Courier New" w:cs="Courier New"/>
      <w:szCs w:val="21"/>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paragraph" w:styleId="12">
    <w:name w:val="Body Text First Indent 2"/>
    <w:basedOn w:val="5"/>
    <w:unhideWhenUsed/>
    <w:qFormat/>
    <w:uiPriority w:val="99"/>
    <w:pPr>
      <w:spacing w:after="120" w:afterLines="0" w:line="240" w:lineRule="auto"/>
      <w:ind w:left="420" w:leftChars="200" w:firstLine="200" w:firstLineChars="200"/>
    </w:pPr>
    <w:rPr>
      <w:kern w:val="2"/>
      <w:sz w:val="21"/>
      <w:szCs w:val="24"/>
    </w:rPr>
  </w:style>
  <w:style w:type="table" w:styleId="14">
    <w:name w:val="Table Grid"/>
    <w:basedOn w:val="13"/>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Emphasis"/>
    <w:qFormat/>
    <w:uiPriority w:val="20"/>
    <w:rPr>
      <w:i/>
      <w:iCs/>
    </w:rPr>
  </w:style>
  <w:style w:type="character" w:customStyle="1" w:styleId="18">
    <w:name w:val="页眉 Char"/>
    <w:basedOn w:val="15"/>
    <w:link w:val="9"/>
    <w:qFormat/>
    <w:uiPriority w:val="99"/>
    <w:rPr>
      <w:sz w:val="18"/>
      <w:szCs w:val="18"/>
    </w:rPr>
  </w:style>
  <w:style w:type="character" w:customStyle="1" w:styleId="19">
    <w:name w:val="页脚 Char"/>
    <w:basedOn w:val="15"/>
    <w:link w:val="8"/>
    <w:qFormat/>
    <w:uiPriority w:val="99"/>
    <w:rPr>
      <w:sz w:val="18"/>
      <w:szCs w:val="18"/>
    </w:rPr>
  </w:style>
  <w:style w:type="paragraph" w:customStyle="1" w:styleId="20">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21">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22">
    <w:name w:val="NormalCharacter"/>
    <w:semiHidden/>
    <w:qFormat/>
    <w:uiPriority w:val="0"/>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11"/>
    <w:basedOn w:val="15"/>
    <w:qFormat/>
    <w:uiPriority w:val="0"/>
    <w:rPr>
      <w:rFonts w:hint="eastAsia" w:ascii="宋体" w:hAnsi="宋体" w:eastAsia="宋体" w:cs="宋体"/>
      <w:color w:val="000000"/>
      <w:sz w:val="24"/>
      <w:szCs w:val="24"/>
      <w:u w:val="none"/>
    </w:rPr>
  </w:style>
  <w:style w:type="character" w:customStyle="1" w:styleId="25">
    <w:name w:val="font41"/>
    <w:basedOn w:val="15"/>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9</Pages>
  <Words>5434</Words>
  <Characters>5629</Characters>
  <Lines>6</Lines>
  <Paragraphs>1</Paragraphs>
  <TotalTime>9</TotalTime>
  <ScaleCrop>false</ScaleCrop>
  <LinksUpToDate>false</LinksUpToDate>
  <CharactersWithSpaces>6243</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2022-08-11T07:09:53Z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2052-11.1.0.12302</vt:lpwstr>
  </property>
  <property fmtid="{D5CDD505-2E9C-101B-9397-08002B2CF9AE}" pid="4" name="ICV">
    <vt:lpwstr>99012001CC8449E1B44B4987A03F7E88</vt:lpwstr>
  </property>
</Properties>
</file>