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sz w:val="36"/>
          <w:szCs w:val="36"/>
          <w:lang w:val="en-US" w:eastAsia="zh-CN"/>
        </w:rPr>
        <w:t>附件一、</w:t>
      </w:r>
      <w:r>
        <w:rPr>
          <w:rFonts w:hint="eastAsia"/>
          <w:sz w:val="36"/>
          <w:szCs w:val="36"/>
        </w:rPr>
        <w:t>采购</w:t>
      </w:r>
      <w:r>
        <w:rPr>
          <w:rFonts w:hint="eastAsia"/>
          <w:sz w:val="36"/>
          <w:szCs w:val="36"/>
          <w:lang w:val="en-US" w:eastAsia="zh-CN"/>
        </w:rPr>
        <w:t>内容及要求</w:t>
      </w:r>
    </w:p>
    <w:p>
      <w:pPr>
        <w:spacing w:line="360" w:lineRule="auto"/>
        <w:rPr>
          <w:rFonts w:hint="default" w:ascii="宋体" w:hAnsi="宋体" w:eastAsia="宋体" w:cs="宋体"/>
          <w:b/>
          <w:bCs/>
          <w:sz w:val="24"/>
          <w:u w:val="none"/>
          <w:lang w:val="en-US" w:eastAsia="zh-CN"/>
        </w:rPr>
      </w:pPr>
      <w:r>
        <w:rPr>
          <w:rFonts w:hint="eastAsia" w:ascii="宋体" w:hAnsi="宋体" w:eastAsia="宋体" w:cs="宋体"/>
          <w:b/>
          <w:bCs/>
          <w:sz w:val="24"/>
        </w:rPr>
        <w:t>一、项目名称：</w:t>
      </w:r>
      <w:r>
        <w:rPr>
          <w:rFonts w:hint="eastAsia" w:ascii="宋体" w:hAnsi="宋体" w:eastAsia="宋体" w:cs="宋体"/>
          <w:b/>
          <w:bCs/>
          <w:sz w:val="24"/>
          <w:lang w:val="en-US" w:eastAsia="zh-CN"/>
        </w:rPr>
        <w:t>一批</w:t>
      </w:r>
      <w:r>
        <w:rPr>
          <w:rFonts w:hint="eastAsia" w:ascii="宋体" w:hAnsi="宋体" w:eastAsia="宋体" w:cs="宋体"/>
          <w:b/>
          <w:bCs/>
          <w:sz w:val="24"/>
          <w:u w:val="none"/>
          <w:lang w:val="en-US" w:eastAsia="zh-CN"/>
        </w:rPr>
        <w:t>办公家具定制</w:t>
      </w:r>
    </w:p>
    <w:p>
      <w:pPr>
        <w:pStyle w:val="2"/>
        <w:spacing w:line="360" w:lineRule="auto"/>
        <w:ind w:firstLine="0" w:firstLineChars="0"/>
        <w:rPr>
          <w:rFonts w:hint="eastAsia" w:ascii="宋体" w:hAnsi="宋体" w:eastAsia="宋体" w:cs="宋体"/>
          <w:b/>
          <w:bCs/>
        </w:rPr>
      </w:pPr>
      <w:r>
        <w:rPr>
          <w:rFonts w:hint="eastAsia" w:ascii="宋体" w:hAnsi="宋体" w:eastAsia="宋体" w:cs="宋体"/>
          <w:b/>
          <w:bCs/>
          <w:sz w:val="24"/>
          <w:lang w:val="en-US" w:eastAsia="zh-CN"/>
        </w:rPr>
        <w:t>二</w:t>
      </w:r>
      <w:r>
        <w:rPr>
          <w:rFonts w:hint="eastAsia" w:ascii="宋体" w:hAnsi="宋体" w:eastAsia="宋体" w:cs="宋体"/>
          <w:b/>
          <w:bCs/>
          <w:sz w:val="24"/>
        </w:rPr>
        <w:t>、项目概况及要求</w:t>
      </w:r>
      <w:r>
        <w:rPr>
          <w:rFonts w:hint="eastAsia" w:ascii="宋体" w:hAnsi="宋体" w:eastAsia="宋体" w:cs="宋体"/>
          <w:b/>
          <w:bCs/>
        </w:rPr>
        <w:t>：</w:t>
      </w:r>
    </w:p>
    <w:p>
      <w:pPr>
        <w:pStyle w:val="2"/>
        <w:spacing w:line="360" w:lineRule="auto"/>
        <w:ind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1、病理科（预算金额：3万元）</w:t>
      </w:r>
    </w:p>
    <w:tbl>
      <w:tblPr>
        <w:tblStyle w:val="7"/>
        <w:tblW w:w="49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512"/>
        <w:gridCol w:w="773"/>
        <w:gridCol w:w="830"/>
        <w:gridCol w:w="1939"/>
        <w:gridCol w:w="6322"/>
        <w:gridCol w:w="2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trPr>
        <w:tc>
          <w:tcPr>
            <w:tcW w:w="238" w:type="pct"/>
            <w:shd w:val="clear" w:color="auto" w:fill="auto"/>
            <w:vAlign w:val="center"/>
          </w:tcPr>
          <w:p>
            <w:pPr>
              <w:pStyle w:val="2"/>
            </w:pPr>
          </w:p>
          <w:p>
            <w:pPr>
              <w:pStyle w:val="2"/>
            </w:pPr>
          </w:p>
        </w:tc>
        <w:tc>
          <w:tcPr>
            <w:tcW w:w="517" w:type="pct"/>
            <w:shd w:val="clear" w:color="auto" w:fill="auto"/>
            <w:vAlign w:val="center"/>
          </w:tcPr>
          <w:p>
            <w:pPr>
              <w:spacing w:line="440" w:lineRule="exact"/>
              <w:jc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产品名称</w:t>
            </w:r>
          </w:p>
        </w:tc>
        <w:tc>
          <w:tcPr>
            <w:tcW w:w="264" w:type="pct"/>
            <w:shd w:val="clear" w:color="auto" w:fill="auto"/>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数量</w:t>
            </w:r>
          </w:p>
        </w:tc>
        <w:tc>
          <w:tcPr>
            <w:tcW w:w="284" w:type="pct"/>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单位</w:t>
            </w:r>
          </w:p>
        </w:tc>
        <w:tc>
          <w:tcPr>
            <w:tcW w:w="664" w:type="pct"/>
            <w:shd w:val="clear" w:color="auto" w:fill="auto"/>
            <w:vAlign w:val="center"/>
          </w:tcPr>
          <w:p>
            <w:pPr>
              <w:spacing w:line="440" w:lineRule="exact"/>
              <w:jc w:val="center"/>
              <w:rPr>
                <w:rFonts w:hint="eastAsia" w:ascii="宋体" w:hAnsi="宋体" w:eastAsia="宋体" w:cs="宋体"/>
                <w:b/>
                <w:bCs/>
                <w:sz w:val="24"/>
                <w:lang w:eastAsia="zh-CN"/>
              </w:rPr>
            </w:pPr>
            <w:r>
              <w:rPr>
                <w:rFonts w:hint="eastAsia" w:ascii="宋体" w:hAnsi="宋体" w:eastAsia="宋体" w:cs="宋体"/>
                <w:b/>
                <w:bCs/>
                <w:sz w:val="24"/>
              </w:rPr>
              <w:t>规格</w:t>
            </w:r>
            <w:r>
              <w:rPr>
                <w:rFonts w:hint="eastAsia" w:ascii="宋体" w:hAnsi="宋体" w:eastAsia="宋体" w:cs="宋体"/>
                <w:b/>
                <w:bCs/>
                <w:sz w:val="24"/>
                <w:lang w:eastAsia="zh-CN"/>
              </w:rPr>
              <w:t>（</w:t>
            </w:r>
            <w:r>
              <w:rPr>
                <w:rFonts w:hint="eastAsia" w:ascii="宋体" w:hAnsi="宋体" w:eastAsia="宋体" w:cs="宋体"/>
                <w:b/>
                <w:bCs/>
                <w:sz w:val="24"/>
                <w:lang w:val="en-US" w:eastAsia="zh-CN"/>
              </w:rPr>
              <w:t>长*宽*高</w:t>
            </w:r>
            <w:r>
              <w:rPr>
                <w:rFonts w:hint="eastAsia" w:ascii="宋体" w:hAnsi="宋体" w:eastAsia="宋体" w:cs="宋体"/>
                <w:b/>
                <w:bCs/>
                <w:sz w:val="24"/>
                <w:lang w:eastAsia="zh-CN"/>
              </w:rPr>
              <w:t>）</w:t>
            </w:r>
          </w:p>
        </w:tc>
        <w:tc>
          <w:tcPr>
            <w:tcW w:w="2165" w:type="pct"/>
            <w:shd w:val="clear" w:color="auto" w:fill="auto"/>
            <w:vAlign w:val="center"/>
          </w:tcPr>
          <w:p>
            <w:pPr>
              <w:spacing w:line="440" w:lineRule="exact"/>
              <w:jc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具体要求</w:t>
            </w:r>
          </w:p>
        </w:tc>
        <w:tc>
          <w:tcPr>
            <w:tcW w:w="865" w:type="pct"/>
            <w:shd w:val="clear" w:color="auto" w:fill="auto"/>
            <w:vAlign w:val="center"/>
          </w:tcPr>
          <w:p>
            <w:pPr>
              <w:spacing w:line="440" w:lineRule="exact"/>
              <w:jc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样式图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23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1</w:t>
            </w:r>
          </w:p>
        </w:tc>
        <w:tc>
          <w:tcPr>
            <w:tcW w:w="517" w:type="pct"/>
            <w:shd w:val="clear" w:color="000000" w:fill="FFFFFF"/>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rPr>
              <w:t>定制</w:t>
            </w:r>
            <w:r>
              <w:rPr>
                <w:rFonts w:hint="eastAsia" w:ascii="宋体" w:hAnsi="宋体" w:eastAsia="宋体" w:cs="宋体"/>
                <w:sz w:val="24"/>
                <w:lang w:val="en-US" w:eastAsia="zh-CN"/>
              </w:rPr>
              <w:t>长桌</w:t>
            </w:r>
          </w:p>
        </w:tc>
        <w:tc>
          <w:tcPr>
            <w:tcW w:w="264"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1</w:t>
            </w:r>
          </w:p>
        </w:tc>
        <w:tc>
          <w:tcPr>
            <w:tcW w:w="284" w:type="pct"/>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张</w:t>
            </w:r>
          </w:p>
        </w:tc>
        <w:tc>
          <w:tcPr>
            <w:tcW w:w="664" w:type="pct"/>
            <w:shd w:val="clear" w:color="000000" w:fill="FFFFFF"/>
            <w:vAlign w:val="center"/>
          </w:tcPr>
          <w:p>
            <w:pPr>
              <w:pStyle w:val="2"/>
              <w:ind w:left="0" w:leftChars="0" w:firstLine="0" w:firstLineChars="0"/>
              <w:rPr>
                <w:rFonts w:hint="eastAsia" w:eastAsiaTheme="minorEastAsia"/>
                <w:lang w:val="en-US" w:eastAsia="zh-CN"/>
              </w:rPr>
            </w:pPr>
            <w:r>
              <w:rPr>
                <w:rFonts w:hint="eastAsia" w:ascii="宋体" w:hAnsi="宋体" w:eastAsia="宋体" w:cs="宋体"/>
                <w:sz w:val="24"/>
                <w:szCs w:val="24"/>
              </w:rPr>
              <w:t>6660*500*760</w:t>
            </w:r>
            <w:r>
              <w:rPr>
                <w:rFonts w:hint="eastAsia" w:ascii="宋体" w:hAnsi="宋体" w:eastAsia="宋体" w:cs="宋体"/>
                <w:sz w:val="24"/>
                <w:szCs w:val="24"/>
                <w:lang w:val="en-US" w:eastAsia="zh-CN"/>
              </w:rPr>
              <w:t>mm</w:t>
            </w:r>
          </w:p>
        </w:tc>
        <w:tc>
          <w:tcPr>
            <w:tcW w:w="2165" w:type="pct"/>
            <w:vMerge w:val="restart"/>
            <w:shd w:val="clear" w:color="000000" w:fill="FFFFFF"/>
            <w:vAlign w:val="center"/>
          </w:tcPr>
          <w:p>
            <w:pPr>
              <w:pStyle w:val="2"/>
              <w:spacing w:line="240" w:lineRule="auto"/>
              <w:ind w:left="0" w:leftChars="0" w:firstLine="0" w:firstLineChars="0"/>
              <w:rPr>
                <w:rFonts w:hint="eastAsia"/>
                <w:sz w:val="15"/>
                <w:szCs w:val="15"/>
              </w:rPr>
            </w:pPr>
            <w:r>
              <w:rPr>
                <w:rFonts w:hint="eastAsia"/>
                <w:sz w:val="15"/>
                <w:szCs w:val="15"/>
              </w:rPr>
              <w:t>1、基材：选用E0级</w:t>
            </w:r>
            <w:r>
              <w:rPr>
                <w:rFonts w:hint="eastAsia"/>
                <w:sz w:val="15"/>
                <w:szCs w:val="15"/>
                <w:lang w:val="en-US" w:eastAsia="zh-CN"/>
              </w:rPr>
              <w:t>或</w:t>
            </w:r>
            <w:r>
              <w:rPr>
                <w:rFonts w:hint="default"/>
                <w:sz w:val="15"/>
                <w:szCs w:val="15"/>
                <w:lang w:val="en-US" w:eastAsia="zh-CN"/>
              </w:rPr>
              <w:t>更高级别</w:t>
            </w:r>
            <w:r>
              <w:rPr>
                <w:rFonts w:hint="eastAsia"/>
                <w:sz w:val="15"/>
                <w:szCs w:val="15"/>
              </w:rPr>
              <w:t>实木颗粒板，材料均经过防虫、防腐等化学处理，抗弯力强，不易变形</w:t>
            </w:r>
            <w:r>
              <w:rPr>
                <w:rFonts w:hint="eastAsia"/>
                <w:sz w:val="15"/>
                <w:szCs w:val="15"/>
                <w:lang w:eastAsia="zh-CN"/>
              </w:rPr>
              <w:t>。</w:t>
            </w:r>
            <w:r>
              <w:rPr>
                <w:rFonts w:hint="eastAsia"/>
                <w:sz w:val="15"/>
                <w:szCs w:val="15"/>
              </w:rPr>
              <w:t xml:space="preserve">                                                                          </w:t>
            </w:r>
          </w:p>
          <w:p>
            <w:pPr>
              <w:pStyle w:val="2"/>
              <w:spacing w:line="240" w:lineRule="auto"/>
              <w:ind w:left="0" w:leftChars="0" w:firstLine="0" w:firstLineChars="0"/>
              <w:rPr>
                <w:rFonts w:hint="eastAsia"/>
                <w:sz w:val="15"/>
                <w:szCs w:val="15"/>
              </w:rPr>
            </w:pPr>
            <w:r>
              <w:rPr>
                <w:rFonts w:hint="eastAsia"/>
                <w:sz w:val="15"/>
                <w:szCs w:val="15"/>
              </w:rPr>
              <w:t>2、面材：加厚度</w:t>
            </w:r>
            <w:r>
              <w:rPr>
                <w:rFonts w:hint="eastAsia"/>
                <w:sz w:val="15"/>
                <w:szCs w:val="15"/>
                <w:lang w:val="en-US" w:eastAsia="zh-CN"/>
              </w:rPr>
              <w:t>≥</w:t>
            </w:r>
            <w:r>
              <w:rPr>
                <w:rFonts w:hint="eastAsia"/>
                <w:sz w:val="15"/>
                <w:szCs w:val="15"/>
              </w:rPr>
              <w:t>25mm</w:t>
            </w:r>
            <w:r>
              <w:rPr>
                <w:rFonts w:hint="eastAsia"/>
                <w:sz w:val="15"/>
                <w:szCs w:val="15"/>
                <w:lang w:eastAsia="zh-CN"/>
              </w:rPr>
              <w:t>，</w:t>
            </w:r>
            <w:r>
              <w:rPr>
                <w:rFonts w:hint="eastAsia"/>
                <w:sz w:val="15"/>
                <w:szCs w:val="15"/>
              </w:rPr>
              <w:t>硬度高，不易磨花，具有防火性，纹理颜色一致，无结疤，无瑕疵。</w:t>
            </w:r>
          </w:p>
          <w:p>
            <w:pPr>
              <w:pStyle w:val="2"/>
              <w:spacing w:line="240" w:lineRule="auto"/>
              <w:ind w:left="0" w:leftChars="0" w:firstLine="0" w:firstLineChars="0"/>
              <w:rPr>
                <w:rFonts w:hint="eastAsia"/>
                <w:sz w:val="15"/>
                <w:szCs w:val="15"/>
              </w:rPr>
            </w:pPr>
            <w:r>
              <w:rPr>
                <w:rFonts w:hint="eastAsia"/>
                <w:sz w:val="15"/>
                <w:szCs w:val="15"/>
              </w:rPr>
              <w:t>3、</w:t>
            </w:r>
            <w:r>
              <w:rPr>
                <w:rFonts w:hint="eastAsia"/>
                <w:sz w:val="15"/>
                <w:szCs w:val="15"/>
                <w:lang w:val="en-US" w:eastAsia="zh-CN"/>
              </w:rPr>
              <w:t>封边：</w:t>
            </w:r>
            <w:r>
              <w:rPr>
                <w:rFonts w:hint="eastAsia"/>
                <w:sz w:val="15"/>
                <w:szCs w:val="15"/>
              </w:rPr>
              <w:t>采用进口PVC同色封边胶条</w:t>
            </w:r>
            <w:r>
              <w:rPr>
                <w:rFonts w:hint="eastAsia"/>
                <w:sz w:val="15"/>
                <w:szCs w:val="15"/>
                <w:lang w:val="en-US" w:eastAsia="zh-CN"/>
              </w:rPr>
              <w:t>或更优材质封边胶条，</w:t>
            </w:r>
            <w:r>
              <w:rPr>
                <w:rFonts w:hint="eastAsia"/>
                <w:sz w:val="15"/>
                <w:szCs w:val="15"/>
              </w:rPr>
              <w:t>拉伸强度</w:t>
            </w:r>
            <w:r>
              <w:rPr>
                <w:rFonts w:hint="eastAsia"/>
                <w:sz w:val="15"/>
                <w:szCs w:val="15"/>
                <w:lang w:val="en-US" w:eastAsia="zh-CN"/>
              </w:rPr>
              <w:t>高</w:t>
            </w:r>
            <w:r>
              <w:rPr>
                <w:rFonts w:hint="eastAsia"/>
                <w:sz w:val="15"/>
                <w:szCs w:val="15"/>
              </w:rPr>
              <w:t>，断裂伸长率</w:t>
            </w:r>
            <w:r>
              <w:rPr>
                <w:rFonts w:hint="eastAsia"/>
                <w:sz w:val="15"/>
                <w:szCs w:val="15"/>
                <w:lang w:val="en-US" w:eastAsia="zh-CN"/>
              </w:rPr>
              <w:t>好</w:t>
            </w:r>
            <w:r>
              <w:rPr>
                <w:rFonts w:hint="eastAsia"/>
                <w:sz w:val="15"/>
                <w:szCs w:val="15"/>
              </w:rPr>
              <w:t>，直角撕裂强度</w:t>
            </w:r>
            <w:r>
              <w:rPr>
                <w:rFonts w:hint="eastAsia"/>
                <w:sz w:val="15"/>
                <w:szCs w:val="15"/>
                <w:lang w:val="en-US" w:eastAsia="zh-CN"/>
              </w:rPr>
              <w:t>高</w:t>
            </w:r>
            <w:r>
              <w:rPr>
                <w:rFonts w:hint="eastAsia"/>
                <w:sz w:val="15"/>
                <w:szCs w:val="15"/>
              </w:rPr>
              <w:t>。</w:t>
            </w:r>
          </w:p>
          <w:p>
            <w:pPr>
              <w:pStyle w:val="2"/>
              <w:spacing w:line="240" w:lineRule="auto"/>
              <w:ind w:left="0" w:leftChars="0" w:firstLine="0" w:firstLineChars="0"/>
              <w:rPr>
                <w:rFonts w:hint="eastAsia"/>
                <w:sz w:val="15"/>
                <w:szCs w:val="15"/>
              </w:rPr>
            </w:pPr>
            <w:r>
              <w:rPr>
                <w:rFonts w:hint="eastAsia"/>
                <w:sz w:val="15"/>
                <w:szCs w:val="15"/>
              </w:rPr>
              <w:t>4、五金配件：采用优质五金配件，表面无锈蚀痕迹、鼓泡、开裂、毛刺、露底。</w:t>
            </w:r>
          </w:p>
          <w:p>
            <w:pPr>
              <w:pStyle w:val="2"/>
              <w:spacing w:line="240" w:lineRule="auto"/>
              <w:ind w:left="0" w:leftChars="0" w:firstLine="0" w:firstLineChars="0"/>
              <w:rPr>
                <w:rFonts w:hint="eastAsia" w:eastAsiaTheme="minorEastAsia"/>
                <w:sz w:val="15"/>
                <w:szCs w:val="15"/>
                <w:lang w:eastAsia="zh-CN"/>
              </w:rPr>
            </w:pPr>
            <w:r>
              <w:rPr>
                <w:rFonts w:hint="eastAsia"/>
                <w:sz w:val="15"/>
                <w:szCs w:val="15"/>
              </w:rPr>
              <w:t>5、定制钢制部分：各焊接处应牢固，焊接应平整、无虚焊，钢件表面采用磷化处理生产，粉沫喷涂静电喷塑，喷塑塑粉采用纯聚酯塑粉（室外粉，抗紫外线），美观且耐候性能好，不易变色，环保无毒</w:t>
            </w:r>
            <w:r>
              <w:rPr>
                <w:rFonts w:hint="eastAsia"/>
                <w:sz w:val="15"/>
                <w:szCs w:val="15"/>
                <w:lang w:eastAsia="zh-CN"/>
              </w:rPr>
              <w:t>。</w:t>
            </w:r>
          </w:p>
          <w:p>
            <w:pPr>
              <w:pStyle w:val="2"/>
              <w:spacing w:line="240" w:lineRule="auto"/>
              <w:ind w:left="0" w:leftChars="0" w:firstLine="0" w:firstLineChars="0"/>
              <w:rPr>
                <w:rFonts w:hint="default"/>
                <w:sz w:val="15"/>
                <w:szCs w:val="15"/>
                <w:lang w:val="en-US" w:eastAsia="zh-CN"/>
              </w:rPr>
            </w:pPr>
            <w:r>
              <w:rPr>
                <w:rFonts w:hint="eastAsia"/>
                <w:sz w:val="15"/>
                <w:szCs w:val="15"/>
                <w:lang w:val="en-US" w:eastAsia="zh-CN"/>
              </w:rPr>
              <w:t>6</w:t>
            </w:r>
            <w:r>
              <w:rPr>
                <w:rFonts w:hint="default"/>
                <w:sz w:val="15"/>
                <w:szCs w:val="15"/>
                <w:lang w:val="en-US" w:eastAsia="zh-CN"/>
              </w:rPr>
              <w:t>、颜色：根据采购人（甲方）需求。</w:t>
            </w:r>
          </w:p>
        </w:tc>
        <w:tc>
          <w:tcPr>
            <w:tcW w:w="865" w:type="pct"/>
            <w:shd w:val="clear" w:color="000000" w:fill="FFFFFF"/>
            <w:vAlign w:val="center"/>
          </w:tcPr>
          <w:p>
            <w:pPr>
              <w:pStyle w:val="2"/>
              <w:ind w:left="0" w:leftChars="0" w:firstLine="0" w:firstLineChars="0"/>
              <w:rPr>
                <w:rFonts w:hint="eastAsia"/>
                <w:lang w:val="en-US" w:eastAsia="zh-CN"/>
              </w:rPr>
            </w:pPr>
            <w:r>
              <w:drawing>
                <wp:inline distT="0" distB="0" distL="114300" distR="114300">
                  <wp:extent cx="1473835" cy="511810"/>
                  <wp:effectExtent l="0" t="0" r="12065" b="2540"/>
                  <wp:docPr id="3" name="图片 2" descr="5cf756afb1a0665f5f39d4ba23c10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5cf756afb1a0665f5f39d4ba23c10d3"/>
                          <pic:cNvPicPr>
                            <a:picLocks noChangeAspect="1"/>
                          </pic:cNvPicPr>
                        </pic:nvPicPr>
                        <pic:blipFill>
                          <a:blip r:embed="rId4"/>
                          <a:stretch>
                            <a:fillRect/>
                          </a:stretch>
                        </pic:blipFill>
                        <pic:spPr>
                          <a:xfrm>
                            <a:off x="0" y="0"/>
                            <a:ext cx="1473835" cy="5118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23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2</w:t>
            </w:r>
          </w:p>
        </w:tc>
        <w:tc>
          <w:tcPr>
            <w:tcW w:w="517"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定制</w:t>
            </w:r>
            <w:r>
              <w:rPr>
                <w:rFonts w:hint="eastAsia" w:ascii="宋体" w:hAnsi="宋体" w:eastAsia="宋体" w:cs="宋体"/>
                <w:sz w:val="24"/>
                <w:lang w:val="en-US" w:eastAsia="zh-CN"/>
              </w:rPr>
              <w:t>长</w:t>
            </w:r>
            <w:r>
              <w:rPr>
                <w:rFonts w:hint="eastAsia" w:ascii="宋体" w:hAnsi="宋体" w:eastAsia="宋体" w:cs="宋体"/>
                <w:sz w:val="24"/>
              </w:rPr>
              <w:t>桌</w:t>
            </w:r>
          </w:p>
        </w:tc>
        <w:tc>
          <w:tcPr>
            <w:tcW w:w="264"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1</w:t>
            </w:r>
          </w:p>
        </w:tc>
        <w:tc>
          <w:tcPr>
            <w:tcW w:w="284" w:type="pct"/>
            <w:vAlign w:val="center"/>
          </w:tcPr>
          <w:p>
            <w:pPr>
              <w:spacing w:line="440" w:lineRule="exact"/>
              <w:jc w:val="center"/>
              <w:rPr>
                <w:rFonts w:hint="default" w:ascii="宋体" w:hAnsi="宋体" w:cs="宋体" w:eastAsiaTheme="minorEastAsia"/>
                <w:sz w:val="24"/>
                <w:lang w:val="en-US" w:eastAsia="zh-CN"/>
              </w:rPr>
            </w:pPr>
            <w:r>
              <w:rPr>
                <w:rFonts w:hint="eastAsia" w:ascii="宋体" w:hAnsi="宋体" w:cs="宋体"/>
                <w:sz w:val="24"/>
                <w:lang w:val="en-US" w:eastAsia="zh-CN"/>
              </w:rPr>
              <w:t>张</w:t>
            </w:r>
          </w:p>
        </w:tc>
        <w:tc>
          <w:tcPr>
            <w:tcW w:w="664" w:type="pct"/>
            <w:shd w:val="clear" w:color="000000" w:fill="FFFFFF"/>
            <w:vAlign w:val="center"/>
          </w:tcPr>
          <w:p>
            <w:pPr>
              <w:pStyle w:val="2"/>
              <w:ind w:left="0" w:leftChars="0" w:firstLine="0" w:firstLineChars="0"/>
              <w:jc w:val="left"/>
              <w:rPr>
                <w:rFonts w:hint="eastAsia" w:eastAsiaTheme="minorEastAsia"/>
                <w:lang w:val="en-US" w:eastAsia="zh-CN"/>
              </w:rPr>
            </w:pPr>
            <w:r>
              <w:rPr>
                <w:rFonts w:hint="eastAsia" w:ascii="宋体" w:hAnsi="宋体" w:eastAsia="宋体" w:cs="宋体"/>
                <w:sz w:val="24"/>
                <w:szCs w:val="24"/>
              </w:rPr>
              <w:t>7400*700*760</w:t>
            </w:r>
            <w:r>
              <w:rPr>
                <w:rFonts w:hint="eastAsia" w:ascii="宋体" w:hAnsi="宋体" w:eastAsia="宋体" w:cs="宋体"/>
                <w:sz w:val="24"/>
                <w:szCs w:val="24"/>
                <w:lang w:val="en-US" w:eastAsia="zh-CN"/>
              </w:rPr>
              <w:t>mm</w:t>
            </w:r>
          </w:p>
        </w:tc>
        <w:tc>
          <w:tcPr>
            <w:tcW w:w="2165" w:type="pct"/>
            <w:vMerge w:val="continue"/>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eastAsiaTheme="minorEastAsia"/>
                <w:sz w:val="24"/>
                <w:highlight w:val="yellow"/>
                <w:lang w:eastAsia="zh-CN"/>
              </w:rPr>
            </w:pPr>
          </w:p>
        </w:tc>
        <w:tc>
          <w:tcPr>
            <w:tcW w:w="865" w:type="pct"/>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eastAsiaTheme="minorEastAsia"/>
                <w:sz w:val="24"/>
                <w:highlight w:val="yellow"/>
                <w:lang w:eastAsia="zh-CN"/>
              </w:rPr>
            </w:pPr>
            <w:r>
              <w:drawing>
                <wp:inline distT="0" distB="0" distL="114300" distR="114300">
                  <wp:extent cx="1468755" cy="450850"/>
                  <wp:effectExtent l="0" t="0" r="17145" b="6350"/>
                  <wp:docPr id="4" name="图片 3" descr="fa57511071b704b2e602498009701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a57511071b704b2e602498009701db"/>
                          <pic:cNvPicPr>
                            <a:picLocks noChangeAspect="1"/>
                          </pic:cNvPicPr>
                        </pic:nvPicPr>
                        <pic:blipFill>
                          <a:blip r:embed="rId5"/>
                          <a:stretch>
                            <a:fillRect/>
                          </a:stretch>
                        </pic:blipFill>
                        <pic:spPr>
                          <a:xfrm>
                            <a:off x="0" y="0"/>
                            <a:ext cx="1468755" cy="4508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238"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3</w:t>
            </w:r>
          </w:p>
        </w:tc>
        <w:tc>
          <w:tcPr>
            <w:tcW w:w="517" w:type="pct"/>
            <w:shd w:val="clear" w:color="000000" w:fill="FFFFFF"/>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rPr>
              <w:t>定制</w:t>
            </w:r>
            <w:r>
              <w:rPr>
                <w:rFonts w:hint="eastAsia" w:ascii="宋体" w:hAnsi="宋体" w:eastAsia="宋体" w:cs="宋体"/>
                <w:sz w:val="24"/>
                <w:lang w:val="en-US" w:eastAsia="zh-CN"/>
              </w:rPr>
              <w:t>长条凳</w:t>
            </w:r>
          </w:p>
        </w:tc>
        <w:tc>
          <w:tcPr>
            <w:tcW w:w="264" w:type="pct"/>
            <w:shd w:val="clear" w:color="auto" w:fill="auto"/>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11</w:t>
            </w:r>
          </w:p>
        </w:tc>
        <w:tc>
          <w:tcPr>
            <w:tcW w:w="284" w:type="pct"/>
            <w:vAlign w:val="center"/>
          </w:tcPr>
          <w:p>
            <w:pPr>
              <w:spacing w:line="440" w:lineRule="exact"/>
              <w:jc w:val="center"/>
              <w:rPr>
                <w:rFonts w:hint="default" w:ascii="宋体" w:hAnsi="宋体" w:cs="宋体" w:eastAsiaTheme="minorEastAsia"/>
                <w:sz w:val="24"/>
                <w:lang w:val="en-US" w:eastAsia="zh-CN"/>
              </w:rPr>
            </w:pPr>
            <w:r>
              <w:rPr>
                <w:rFonts w:hint="eastAsia" w:ascii="宋体" w:hAnsi="宋体" w:cs="宋体"/>
                <w:sz w:val="24"/>
                <w:lang w:val="en-US" w:eastAsia="zh-CN"/>
              </w:rPr>
              <w:t>张</w:t>
            </w:r>
          </w:p>
        </w:tc>
        <w:tc>
          <w:tcPr>
            <w:tcW w:w="664" w:type="pct"/>
            <w:shd w:val="clear" w:color="000000" w:fill="FFFFFF"/>
            <w:vAlign w:val="center"/>
          </w:tcPr>
          <w:p>
            <w:pPr>
              <w:spacing w:line="440" w:lineRule="exact"/>
              <w:rPr>
                <w:rFonts w:hint="eastAsia" w:ascii="宋体" w:hAnsi="宋体" w:eastAsia="宋体" w:cs="宋体"/>
                <w:sz w:val="24"/>
                <w:lang w:val="en-US" w:eastAsia="zh-CN"/>
              </w:rPr>
            </w:pPr>
            <w:r>
              <w:rPr>
                <w:rFonts w:hint="eastAsia" w:ascii="宋体" w:hAnsi="宋体" w:eastAsia="宋体" w:cs="宋体"/>
                <w:sz w:val="24"/>
              </w:rPr>
              <w:t>1200*280*420</w:t>
            </w:r>
            <w:r>
              <w:rPr>
                <w:rFonts w:hint="eastAsia" w:ascii="宋体" w:hAnsi="宋体" w:eastAsia="宋体" w:cs="宋体"/>
                <w:sz w:val="24"/>
                <w:lang w:val="en-US" w:eastAsia="zh-CN"/>
              </w:rPr>
              <w:t>mm</w:t>
            </w:r>
          </w:p>
        </w:tc>
        <w:tc>
          <w:tcPr>
            <w:tcW w:w="2165" w:type="pct"/>
            <w:vMerge w:val="continue"/>
            <w:shd w:val="clear" w:color="000000" w:fill="FFFFFF"/>
            <w:vAlign w:val="center"/>
          </w:tcPr>
          <w:p>
            <w:pPr>
              <w:spacing w:line="440" w:lineRule="exact"/>
              <w:rPr>
                <w:rFonts w:hint="default" w:ascii="宋体" w:hAnsi="宋体" w:cs="宋体" w:eastAsiaTheme="minorEastAsia"/>
                <w:sz w:val="24"/>
                <w:highlight w:val="yellow"/>
                <w:lang w:val="en-US" w:eastAsia="zh-CN"/>
              </w:rPr>
            </w:pPr>
          </w:p>
        </w:tc>
        <w:tc>
          <w:tcPr>
            <w:tcW w:w="865" w:type="pct"/>
            <w:shd w:val="clear" w:color="000000" w:fill="FFFFFF"/>
            <w:vAlign w:val="center"/>
          </w:tcPr>
          <w:p>
            <w:pPr>
              <w:spacing w:line="240" w:lineRule="auto"/>
              <w:rPr>
                <w:rFonts w:hint="default" w:ascii="宋体" w:hAnsi="宋体" w:cs="宋体" w:eastAsiaTheme="minorEastAsia"/>
                <w:sz w:val="24"/>
                <w:highlight w:val="yellow"/>
                <w:lang w:val="en-US" w:eastAsia="zh-CN"/>
              </w:rPr>
            </w:pPr>
            <w:r>
              <w:drawing>
                <wp:inline distT="0" distB="0" distL="114300" distR="114300">
                  <wp:extent cx="1101725" cy="616585"/>
                  <wp:effectExtent l="0" t="0" r="3175" b="12065"/>
                  <wp:docPr id="9" name="图片 8" descr="862de177c27e78dc8206ab81caaa6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862de177c27e78dc8206ab81caaa6ee"/>
                          <pic:cNvPicPr>
                            <a:picLocks noChangeAspect="1"/>
                          </pic:cNvPicPr>
                        </pic:nvPicPr>
                        <pic:blipFill>
                          <a:blip r:embed="rId6"/>
                          <a:srcRect r="12778"/>
                          <a:stretch>
                            <a:fillRect/>
                          </a:stretch>
                        </pic:blipFill>
                        <pic:spPr>
                          <a:xfrm rot="10800000" flipV="1">
                            <a:off x="0" y="0"/>
                            <a:ext cx="1101725" cy="6165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238" w:type="pct"/>
            <w:shd w:val="clear" w:color="auto" w:fill="auto"/>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4</w:t>
            </w:r>
          </w:p>
        </w:tc>
        <w:tc>
          <w:tcPr>
            <w:tcW w:w="517" w:type="pct"/>
            <w:shd w:val="clear" w:color="000000" w:fill="FFFFFF"/>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定制吊柜</w:t>
            </w:r>
          </w:p>
        </w:tc>
        <w:tc>
          <w:tcPr>
            <w:tcW w:w="264" w:type="pct"/>
            <w:shd w:val="clear" w:color="auto" w:fill="auto"/>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4</w:t>
            </w:r>
          </w:p>
        </w:tc>
        <w:tc>
          <w:tcPr>
            <w:tcW w:w="284" w:type="pct"/>
            <w:vAlign w:val="center"/>
          </w:tcPr>
          <w:p>
            <w:pPr>
              <w:spacing w:line="440" w:lineRule="exact"/>
              <w:jc w:val="center"/>
              <w:rPr>
                <w:rFonts w:hint="eastAsia" w:ascii="宋体" w:hAnsi="宋体" w:cs="宋体" w:eastAsiaTheme="minorEastAsia"/>
                <w:kern w:val="2"/>
                <w:sz w:val="24"/>
                <w:szCs w:val="24"/>
                <w:lang w:val="en-US" w:eastAsia="zh-CN" w:bidi="ar-SA"/>
              </w:rPr>
            </w:pPr>
            <w:r>
              <w:rPr>
                <w:rFonts w:hint="eastAsia" w:ascii="宋体" w:hAnsi="宋体" w:cs="宋体"/>
                <w:sz w:val="24"/>
                <w:lang w:val="en-US" w:eastAsia="zh-CN"/>
              </w:rPr>
              <w:t>组</w:t>
            </w:r>
          </w:p>
        </w:tc>
        <w:tc>
          <w:tcPr>
            <w:tcW w:w="664" w:type="pct"/>
            <w:shd w:val="clear" w:color="000000" w:fill="FFFFFF"/>
            <w:vAlign w:val="center"/>
          </w:tcPr>
          <w:p>
            <w:pPr>
              <w:pStyle w:val="2"/>
              <w:ind w:left="0" w:leftChars="0" w:firstLine="0" w:firstLineChars="0"/>
              <w:rPr>
                <w:rFonts w:hint="eastAsia" w:asciiTheme="minorHAnsi" w:hAnsiTheme="minorHAnsi" w:eastAsiaTheme="minorEastAsia" w:cstheme="minorBidi"/>
                <w:kern w:val="2"/>
                <w:sz w:val="21"/>
                <w:szCs w:val="24"/>
                <w:lang w:val="en-US" w:eastAsia="zh-CN" w:bidi="ar-SA"/>
              </w:rPr>
            </w:pP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0</w:t>
            </w:r>
            <w:r>
              <w:rPr>
                <w:rFonts w:hint="eastAsia" w:asciiTheme="majorEastAsia" w:hAnsiTheme="majorEastAsia" w:eastAsiaTheme="majorEastAsia" w:cstheme="majorEastAsia"/>
                <w:sz w:val="24"/>
                <w:szCs w:val="24"/>
              </w:rPr>
              <w:t>00*350*700</w:t>
            </w:r>
            <w:r>
              <w:rPr>
                <w:rFonts w:hint="eastAsia" w:asciiTheme="majorEastAsia" w:hAnsiTheme="majorEastAsia" w:eastAsiaTheme="majorEastAsia" w:cstheme="majorEastAsia"/>
                <w:sz w:val="24"/>
                <w:szCs w:val="24"/>
                <w:lang w:val="en-US" w:eastAsia="zh-CN"/>
              </w:rPr>
              <w:t>mm</w:t>
            </w:r>
          </w:p>
        </w:tc>
        <w:tc>
          <w:tcPr>
            <w:tcW w:w="2165" w:type="pct"/>
            <w:shd w:val="clear" w:color="000000" w:fill="FFFFFF"/>
            <w:vAlign w:val="center"/>
          </w:tcPr>
          <w:p>
            <w:pPr>
              <w:pStyle w:val="2"/>
              <w:numPr>
                <w:ilvl w:val="0"/>
                <w:numId w:val="1"/>
              </w:numPr>
              <w:ind w:left="0" w:leftChars="0" w:firstLine="0" w:firstLineChars="0"/>
              <w:rPr>
                <w:rFonts w:hint="default"/>
                <w:sz w:val="15"/>
                <w:szCs w:val="15"/>
                <w:lang w:val="en-US" w:eastAsia="zh-CN"/>
              </w:rPr>
            </w:pPr>
            <w:r>
              <w:rPr>
                <w:rFonts w:hint="default"/>
                <w:sz w:val="15"/>
                <w:szCs w:val="15"/>
                <w:lang w:val="en-US" w:eastAsia="zh-CN"/>
              </w:rPr>
              <w:t xml:space="preserve">基材：选用E0级或更高级别实木颗粒板，材料均经过防虫、防腐等化学处理，抗弯力强，不易变形。 </w:t>
            </w:r>
          </w:p>
          <w:p>
            <w:pPr>
              <w:pStyle w:val="2"/>
              <w:numPr>
                <w:ilvl w:val="0"/>
                <w:numId w:val="1"/>
              </w:numPr>
              <w:ind w:left="0" w:leftChars="0" w:firstLine="0" w:firstLineChars="0"/>
              <w:rPr>
                <w:rFonts w:hint="default"/>
                <w:sz w:val="15"/>
                <w:szCs w:val="15"/>
                <w:lang w:val="en-US" w:eastAsia="zh-CN"/>
              </w:rPr>
            </w:pPr>
            <w:r>
              <w:rPr>
                <w:rFonts w:hint="default"/>
                <w:sz w:val="15"/>
                <w:szCs w:val="15"/>
                <w:lang w:val="en-US" w:eastAsia="zh-CN"/>
              </w:rPr>
              <w:t>贴面：MFC贴面</w:t>
            </w:r>
            <w:r>
              <w:rPr>
                <w:rFonts w:hint="eastAsia"/>
                <w:sz w:val="15"/>
                <w:szCs w:val="15"/>
                <w:lang w:val="en-US" w:eastAsia="zh-CN"/>
              </w:rPr>
              <w:t>或更优材质贴面</w:t>
            </w:r>
            <w:r>
              <w:rPr>
                <w:rFonts w:hint="default"/>
                <w:sz w:val="15"/>
                <w:szCs w:val="15"/>
                <w:lang w:val="en-US" w:eastAsia="zh-CN"/>
              </w:rPr>
              <w:t>。</w:t>
            </w:r>
            <w:r>
              <w:rPr>
                <w:rFonts w:hint="eastAsia"/>
                <w:sz w:val="15"/>
                <w:szCs w:val="15"/>
                <w:lang w:val="en-US" w:eastAsia="zh-CN"/>
              </w:rPr>
              <w:t>具有</w:t>
            </w:r>
            <w:r>
              <w:rPr>
                <w:rFonts w:hint="default"/>
                <w:sz w:val="15"/>
                <w:szCs w:val="15"/>
                <w:lang w:val="en-US" w:eastAsia="zh-CN"/>
              </w:rPr>
              <w:t>防火</w:t>
            </w:r>
            <w:r>
              <w:rPr>
                <w:rFonts w:hint="eastAsia"/>
                <w:sz w:val="15"/>
                <w:szCs w:val="15"/>
                <w:lang w:val="en-US" w:eastAsia="zh-CN"/>
              </w:rPr>
              <w:t>、</w:t>
            </w:r>
            <w:r>
              <w:rPr>
                <w:rFonts w:hint="default"/>
                <w:sz w:val="15"/>
                <w:szCs w:val="15"/>
                <w:lang w:val="en-US" w:eastAsia="zh-CN"/>
              </w:rPr>
              <w:t>阻燃、耐磨性强、清洁方便等特点</w:t>
            </w:r>
            <w:r>
              <w:rPr>
                <w:rFonts w:hint="eastAsia"/>
                <w:sz w:val="15"/>
                <w:szCs w:val="15"/>
                <w:lang w:val="en-US" w:eastAsia="zh-CN"/>
              </w:rPr>
              <w:t>。</w:t>
            </w:r>
          </w:p>
          <w:p>
            <w:pPr>
              <w:pStyle w:val="2"/>
              <w:spacing w:line="240" w:lineRule="auto"/>
              <w:ind w:left="0" w:leftChars="0" w:firstLine="0" w:firstLineChars="0"/>
              <w:rPr>
                <w:rFonts w:hint="eastAsia"/>
                <w:sz w:val="15"/>
                <w:szCs w:val="15"/>
              </w:rPr>
            </w:pPr>
            <w:r>
              <w:rPr>
                <w:rFonts w:hint="eastAsia"/>
                <w:sz w:val="15"/>
                <w:szCs w:val="15"/>
              </w:rPr>
              <w:t>3、</w:t>
            </w:r>
            <w:r>
              <w:rPr>
                <w:rFonts w:hint="eastAsia"/>
                <w:sz w:val="15"/>
                <w:szCs w:val="15"/>
                <w:lang w:val="en-US" w:eastAsia="zh-CN"/>
              </w:rPr>
              <w:t>封边：</w:t>
            </w:r>
            <w:r>
              <w:rPr>
                <w:rFonts w:hint="eastAsia"/>
                <w:sz w:val="15"/>
                <w:szCs w:val="15"/>
              </w:rPr>
              <w:t>采用进口PVC同色封边胶条</w:t>
            </w:r>
            <w:r>
              <w:rPr>
                <w:rFonts w:hint="eastAsia"/>
                <w:sz w:val="15"/>
                <w:szCs w:val="15"/>
                <w:lang w:val="en-US" w:eastAsia="zh-CN"/>
              </w:rPr>
              <w:t>或更优材质封边胶条，</w:t>
            </w:r>
            <w:r>
              <w:rPr>
                <w:rFonts w:hint="eastAsia"/>
                <w:sz w:val="15"/>
                <w:szCs w:val="15"/>
              </w:rPr>
              <w:t>拉伸强度</w:t>
            </w:r>
            <w:r>
              <w:rPr>
                <w:rFonts w:hint="eastAsia"/>
                <w:sz w:val="15"/>
                <w:szCs w:val="15"/>
                <w:lang w:val="en-US" w:eastAsia="zh-CN"/>
              </w:rPr>
              <w:t>高</w:t>
            </w:r>
            <w:r>
              <w:rPr>
                <w:rFonts w:hint="eastAsia"/>
                <w:sz w:val="15"/>
                <w:szCs w:val="15"/>
              </w:rPr>
              <w:t>，断裂伸长率</w:t>
            </w:r>
            <w:r>
              <w:rPr>
                <w:rFonts w:hint="eastAsia"/>
                <w:sz w:val="15"/>
                <w:szCs w:val="15"/>
                <w:lang w:val="en-US" w:eastAsia="zh-CN"/>
              </w:rPr>
              <w:t>好</w:t>
            </w:r>
            <w:r>
              <w:rPr>
                <w:rFonts w:hint="eastAsia"/>
                <w:sz w:val="15"/>
                <w:szCs w:val="15"/>
              </w:rPr>
              <w:t>，直角撕裂强度</w:t>
            </w:r>
            <w:r>
              <w:rPr>
                <w:rFonts w:hint="eastAsia"/>
                <w:sz w:val="15"/>
                <w:szCs w:val="15"/>
                <w:lang w:val="en-US" w:eastAsia="zh-CN"/>
              </w:rPr>
              <w:t>高</w:t>
            </w:r>
            <w:r>
              <w:rPr>
                <w:rFonts w:hint="eastAsia"/>
                <w:sz w:val="15"/>
                <w:szCs w:val="15"/>
              </w:rPr>
              <w:t>。</w:t>
            </w:r>
          </w:p>
          <w:p>
            <w:pPr>
              <w:pStyle w:val="2"/>
              <w:ind w:left="0" w:leftChars="0" w:firstLine="0" w:firstLineChars="0"/>
              <w:rPr>
                <w:rFonts w:hint="default"/>
                <w:sz w:val="15"/>
                <w:szCs w:val="15"/>
                <w:lang w:val="en-US" w:eastAsia="zh-CN"/>
              </w:rPr>
            </w:pPr>
            <w:r>
              <w:rPr>
                <w:rFonts w:hint="default"/>
                <w:sz w:val="15"/>
                <w:szCs w:val="15"/>
                <w:lang w:val="en-US" w:eastAsia="zh-CN"/>
              </w:rPr>
              <w:t>4、五金配件：采用优质五金配件，表面无锈蚀痕迹、鼓泡、开裂、毛刺、露底。</w:t>
            </w:r>
          </w:p>
          <w:p>
            <w:pPr>
              <w:pStyle w:val="2"/>
              <w:ind w:left="0" w:leftChars="0" w:firstLine="0" w:firstLineChars="0"/>
              <w:rPr>
                <w:rFonts w:hint="default"/>
                <w:lang w:val="en-US" w:eastAsia="zh-CN"/>
              </w:rPr>
            </w:pPr>
            <w:r>
              <w:rPr>
                <w:rFonts w:hint="eastAsia"/>
                <w:sz w:val="15"/>
                <w:szCs w:val="15"/>
                <w:lang w:val="en-US" w:eastAsia="zh-CN"/>
              </w:rPr>
              <w:t>5、颜色：根据采购人（甲方）需求。</w:t>
            </w:r>
          </w:p>
        </w:tc>
        <w:tc>
          <w:tcPr>
            <w:tcW w:w="865" w:type="pct"/>
            <w:shd w:val="clear" w:color="000000" w:fill="FFFFFF"/>
            <w:vAlign w:val="center"/>
          </w:tcPr>
          <w:p>
            <w:pPr>
              <w:pStyle w:val="2"/>
              <w:ind w:left="0" w:leftChars="0" w:firstLine="0" w:firstLineChars="0"/>
              <w:rPr>
                <w:rFonts w:hint="eastAsia"/>
                <w:lang w:val="en-US" w:eastAsia="zh-CN"/>
              </w:rPr>
            </w:pPr>
            <w:r>
              <w:drawing>
                <wp:inline distT="0" distB="0" distL="114300" distR="114300">
                  <wp:extent cx="1484630" cy="1121410"/>
                  <wp:effectExtent l="0" t="0" r="1270" b="2540"/>
                  <wp:docPr id="10" name="图片 9" descr="56e4d3545375bb29826d3f9bc45d61ca_quality,Q_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56e4d3545375bb29826d3f9bc45d61ca_quality,Q_80"/>
                          <pic:cNvPicPr>
                            <a:picLocks noChangeAspect="1"/>
                          </pic:cNvPicPr>
                        </pic:nvPicPr>
                        <pic:blipFill>
                          <a:blip r:embed="rId7"/>
                          <a:stretch>
                            <a:fillRect/>
                          </a:stretch>
                        </pic:blipFill>
                        <pic:spPr>
                          <a:xfrm>
                            <a:off x="0" y="0"/>
                            <a:ext cx="1484630" cy="1121410"/>
                          </a:xfrm>
                          <a:prstGeom prst="rect">
                            <a:avLst/>
                          </a:prstGeom>
                        </pic:spPr>
                      </pic:pic>
                    </a:graphicData>
                  </a:graphic>
                </wp:inline>
              </w:drawing>
            </w:r>
          </w:p>
        </w:tc>
      </w:tr>
    </w:tbl>
    <w:p>
      <w:pPr>
        <w:pStyle w:val="2"/>
        <w:ind w:firstLine="0" w:firstLineChars="0"/>
        <w:rPr>
          <w:rFonts w:hint="default" w:ascii="宋体" w:hAnsi="宋体" w:eastAsia="宋体" w:cs="宋体"/>
          <w:sz w:val="24"/>
          <w:lang w:val="en-US" w:eastAsia="zh-CN"/>
        </w:rPr>
      </w:pPr>
    </w:p>
    <w:p>
      <w:pPr>
        <w:pStyle w:val="2"/>
        <w:ind w:firstLine="0" w:firstLineChars="0"/>
        <w:rPr>
          <w:rFonts w:hint="eastAsia" w:ascii="宋体" w:hAnsi="宋体" w:eastAsia="宋体" w:cs="宋体"/>
          <w:sz w:val="24"/>
          <w:lang w:val="en-US" w:eastAsia="zh-CN"/>
        </w:rPr>
      </w:pPr>
    </w:p>
    <w:p>
      <w:pPr>
        <w:pStyle w:val="2"/>
        <w:ind w:firstLine="0" w:firstLineChars="0"/>
        <w:rPr>
          <w:rFonts w:hint="default" w:ascii="宋体" w:hAnsi="宋体" w:eastAsia="宋体" w:cs="宋体"/>
          <w:sz w:val="24"/>
          <w:lang w:val="en-US" w:eastAsia="zh-CN"/>
        </w:rPr>
      </w:pPr>
      <w:r>
        <w:rPr>
          <w:rFonts w:hint="eastAsia" w:ascii="宋体" w:hAnsi="宋体" w:eastAsia="宋体" w:cs="宋体"/>
          <w:sz w:val="24"/>
          <w:lang w:val="en-US" w:eastAsia="zh-CN"/>
        </w:rPr>
        <w:t>2、</w:t>
      </w:r>
      <w:bookmarkStart w:id="0" w:name="_GoBack"/>
      <w:r>
        <w:rPr>
          <w:rFonts w:hint="eastAsia" w:ascii="宋体" w:hAnsi="宋体" w:eastAsia="宋体" w:cs="宋体"/>
          <w:sz w:val="24"/>
          <w:lang w:val="en-US" w:eastAsia="zh-CN"/>
        </w:rPr>
        <w:t>药物临床试验办公室（预算金额：7000元）</w:t>
      </w:r>
    </w:p>
    <w:bookmarkEnd w:id="0"/>
    <w:tbl>
      <w:tblPr>
        <w:tblStyle w:val="7"/>
        <w:tblW w:w="48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512"/>
        <w:gridCol w:w="992"/>
        <w:gridCol w:w="1027"/>
        <w:gridCol w:w="2019"/>
        <w:gridCol w:w="5827"/>
        <w:gridCol w:w="2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trPr>
        <w:tc>
          <w:tcPr>
            <w:tcW w:w="243" w:type="pct"/>
            <w:shd w:val="clear" w:color="auto" w:fill="auto"/>
            <w:vAlign w:val="center"/>
          </w:tcPr>
          <w:p>
            <w:pPr>
              <w:pStyle w:val="2"/>
            </w:pPr>
          </w:p>
          <w:p>
            <w:pPr>
              <w:pStyle w:val="2"/>
            </w:pPr>
          </w:p>
        </w:tc>
        <w:tc>
          <w:tcPr>
            <w:tcW w:w="530" w:type="pct"/>
            <w:shd w:val="clear" w:color="auto" w:fill="auto"/>
            <w:vAlign w:val="center"/>
          </w:tcPr>
          <w:p>
            <w:pPr>
              <w:spacing w:line="440" w:lineRule="exact"/>
              <w:jc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产品名称</w:t>
            </w:r>
          </w:p>
        </w:tc>
        <w:tc>
          <w:tcPr>
            <w:tcW w:w="347" w:type="pct"/>
            <w:shd w:val="clear" w:color="auto" w:fill="auto"/>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数量</w:t>
            </w:r>
          </w:p>
        </w:tc>
        <w:tc>
          <w:tcPr>
            <w:tcW w:w="359" w:type="pct"/>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单位</w:t>
            </w:r>
          </w:p>
        </w:tc>
        <w:tc>
          <w:tcPr>
            <w:tcW w:w="707" w:type="pct"/>
            <w:shd w:val="clear" w:color="auto" w:fill="auto"/>
            <w:vAlign w:val="center"/>
          </w:tcPr>
          <w:p>
            <w:pPr>
              <w:spacing w:line="440" w:lineRule="exact"/>
              <w:jc w:val="center"/>
              <w:rPr>
                <w:rFonts w:hint="eastAsia" w:ascii="宋体" w:hAnsi="宋体" w:eastAsia="宋体" w:cs="宋体"/>
                <w:b/>
                <w:bCs/>
                <w:sz w:val="24"/>
                <w:lang w:eastAsia="zh-CN"/>
              </w:rPr>
            </w:pPr>
            <w:r>
              <w:rPr>
                <w:rFonts w:hint="eastAsia" w:ascii="宋体" w:hAnsi="宋体" w:eastAsia="宋体" w:cs="宋体"/>
                <w:b/>
                <w:bCs/>
                <w:sz w:val="24"/>
              </w:rPr>
              <w:t>规格</w:t>
            </w:r>
            <w:r>
              <w:rPr>
                <w:rFonts w:hint="eastAsia" w:ascii="宋体" w:hAnsi="宋体" w:eastAsia="宋体" w:cs="宋体"/>
                <w:b/>
                <w:bCs/>
                <w:sz w:val="24"/>
                <w:lang w:eastAsia="zh-CN"/>
              </w:rPr>
              <w:t>（</w:t>
            </w:r>
            <w:r>
              <w:rPr>
                <w:rFonts w:hint="eastAsia" w:ascii="宋体" w:hAnsi="宋体" w:eastAsia="宋体" w:cs="宋体"/>
                <w:b/>
                <w:bCs/>
                <w:sz w:val="24"/>
                <w:lang w:val="en-US" w:eastAsia="zh-CN"/>
              </w:rPr>
              <w:t>长*宽*高</w:t>
            </w:r>
            <w:r>
              <w:rPr>
                <w:rFonts w:hint="eastAsia" w:ascii="宋体" w:hAnsi="宋体" w:eastAsia="宋体" w:cs="宋体"/>
                <w:b/>
                <w:bCs/>
                <w:sz w:val="24"/>
                <w:lang w:eastAsia="zh-CN"/>
              </w:rPr>
              <w:t>）</w:t>
            </w:r>
          </w:p>
        </w:tc>
        <w:tc>
          <w:tcPr>
            <w:tcW w:w="2042" w:type="pct"/>
            <w:shd w:val="clear" w:color="auto" w:fill="auto"/>
            <w:vAlign w:val="center"/>
          </w:tcPr>
          <w:p>
            <w:pPr>
              <w:spacing w:line="440" w:lineRule="exact"/>
              <w:jc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具体要求</w:t>
            </w:r>
          </w:p>
        </w:tc>
        <w:tc>
          <w:tcPr>
            <w:tcW w:w="768" w:type="pct"/>
            <w:shd w:val="clear" w:color="auto" w:fill="auto"/>
            <w:vAlign w:val="center"/>
          </w:tcPr>
          <w:p>
            <w:pPr>
              <w:spacing w:line="440" w:lineRule="exact"/>
              <w:jc w:val="center"/>
              <w:rPr>
                <w:rFonts w:hint="eastAsia" w:ascii="宋体" w:hAnsi="宋体" w:eastAsia="宋体" w:cs="宋体"/>
                <w:b/>
                <w:bCs/>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trPr>
        <w:tc>
          <w:tcPr>
            <w:tcW w:w="243"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1</w:t>
            </w:r>
          </w:p>
        </w:tc>
        <w:tc>
          <w:tcPr>
            <w:tcW w:w="530"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定制办公桌</w:t>
            </w:r>
          </w:p>
        </w:tc>
        <w:tc>
          <w:tcPr>
            <w:tcW w:w="347"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3</w:t>
            </w:r>
          </w:p>
        </w:tc>
        <w:tc>
          <w:tcPr>
            <w:tcW w:w="359" w:type="pct"/>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张</w:t>
            </w:r>
          </w:p>
        </w:tc>
        <w:tc>
          <w:tcPr>
            <w:tcW w:w="707" w:type="pct"/>
            <w:shd w:val="clear" w:color="000000" w:fill="FFFFFF"/>
            <w:vAlign w:val="center"/>
          </w:tcPr>
          <w:p>
            <w:pPr>
              <w:pStyle w:val="2"/>
              <w:ind w:left="0" w:leftChars="0" w:firstLine="0" w:firstLineChars="0"/>
              <w:rPr>
                <w:rFonts w:hint="eastAsia" w:eastAsiaTheme="minorEastAsia"/>
                <w:lang w:val="en-US" w:eastAsia="zh-CN"/>
              </w:rPr>
            </w:pPr>
            <w:r>
              <w:rPr>
                <w:rFonts w:hint="eastAsia" w:ascii="宋体" w:hAnsi="宋体" w:eastAsia="宋体" w:cs="宋体"/>
                <w:sz w:val="24"/>
                <w:szCs w:val="24"/>
              </w:rPr>
              <w:t>1200*600*750</w:t>
            </w:r>
            <w:r>
              <w:rPr>
                <w:rFonts w:hint="eastAsia" w:ascii="宋体" w:hAnsi="宋体" w:eastAsia="宋体" w:cs="宋体"/>
                <w:sz w:val="24"/>
                <w:szCs w:val="24"/>
                <w:lang w:val="en-US" w:eastAsia="zh-CN"/>
              </w:rPr>
              <w:t>mm</w:t>
            </w:r>
          </w:p>
        </w:tc>
        <w:tc>
          <w:tcPr>
            <w:tcW w:w="2042" w:type="pct"/>
            <w:vMerge w:val="restart"/>
            <w:shd w:val="clear" w:color="000000" w:fill="FFFFFF"/>
            <w:vAlign w:val="center"/>
          </w:tcPr>
          <w:p>
            <w:pPr>
              <w:pStyle w:val="2"/>
              <w:ind w:left="0" w:leftChars="0" w:firstLine="0" w:firstLineChars="0"/>
              <w:rPr>
                <w:rFonts w:hint="eastAsia"/>
                <w:sz w:val="15"/>
                <w:szCs w:val="15"/>
              </w:rPr>
            </w:pPr>
            <w:r>
              <w:rPr>
                <w:rFonts w:hint="eastAsia"/>
                <w:sz w:val="15"/>
                <w:szCs w:val="15"/>
              </w:rPr>
              <w:t xml:space="preserve">1、基材：选用E0级或更高级别实木颗粒板，材料均经过防虫、防腐等化学处理，抗弯力强，不易变形。                                                                          </w:t>
            </w:r>
          </w:p>
          <w:p>
            <w:pPr>
              <w:pStyle w:val="2"/>
              <w:ind w:left="0" w:leftChars="0" w:firstLine="0" w:firstLineChars="0"/>
              <w:rPr>
                <w:rFonts w:hint="eastAsia"/>
                <w:sz w:val="15"/>
                <w:szCs w:val="15"/>
              </w:rPr>
            </w:pPr>
            <w:r>
              <w:rPr>
                <w:rFonts w:hint="eastAsia"/>
                <w:sz w:val="15"/>
                <w:szCs w:val="15"/>
              </w:rPr>
              <w:t>2、面材：加厚度≥25mm，硬度高，不易磨花，具有防火性，纹理颜色一致，无结疤，无瑕疵。</w:t>
            </w:r>
          </w:p>
          <w:p>
            <w:pPr>
              <w:pStyle w:val="2"/>
              <w:ind w:left="0" w:leftChars="0" w:firstLine="0" w:firstLineChars="0"/>
              <w:rPr>
                <w:rFonts w:hint="eastAsia"/>
                <w:sz w:val="15"/>
                <w:szCs w:val="15"/>
              </w:rPr>
            </w:pPr>
            <w:r>
              <w:rPr>
                <w:rFonts w:hint="eastAsia"/>
                <w:sz w:val="15"/>
                <w:szCs w:val="15"/>
              </w:rPr>
              <w:t>3、封边：采用进口PVC同色封边胶条或更优材质封边胶条，拉伸强度高，断裂伸长率好，直角撕裂强度高。</w:t>
            </w:r>
          </w:p>
          <w:p>
            <w:pPr>
              <w:pStyle w:val="2"/>
              <w:ind w:left="0" w:leftChars="0" w:firstLine="0" w:firstLineChars="0"/>
              <w:rPr>
                <w:rFonts w:hint="eastAsia"/>
                <w:sz w:val="15"/>
                <w:szCs w:val="15"/>
              </w:rPr>
            </w:pPr>
            <w:r>
              <w:rPr>
                <w:rFonts w:hint="eastAsia"/>
                <w:sz w:val="15"/>
                <w:szCs w:val="15"/>
              </w:rPr>
              <w:t>4、五金配件：采用优质五金配件，表面无锈蚀痕迹、鼓泡、开裂、毛刺、露底。</w:t>
            </w:r>
          </w:p>
          <w:p>
            <w:pPr>
              <w:pStyle w:val="2"/>
              <w:ind w:left="0" w:leftChars="0" w:firstLine="0" w:firstLineChars="0"/>
              <w:rPr>
                <w:rFonts w:hint="eastAsia"/>
                <w:sz w:val="15"/>
                <w:szCs w:val="15"/>
              </w:rPr>
            </w:pPr>
            <w:r>
              <w:rPr>
                <w:rFonts w:hint="eastAsia"/>
                <w:sz w:val="15"/>
                <w:szCs w:val="15"/>
              </w:rPr>
              <w:t>5、定制钢制部分：各焊接处应牢固，焊接应平整、无虚焊，钢件表面采用磷化处理生产，粉沫喷涂静电喷塑，喷塑塑粉采用纯聚酯塑粉（室外粉，抗紫外线），美观且耐候性能好，不易变色，环保无毒。</w:t>
            </w:r>
          </w:p>
          <w:p>
            <w:pPr>
              <w:pStyle w:val="2"/>
              <w:ind w:left="0" w:leftChars="0" w:firstLine="0" w:firstLineChars="0"/>
              <w:rPr>
                <w:rFonts w:hint="eastAsia" w:eastAsiaTheme="minorEastAsia"/>
                <w:lang w:val="en-US" w:eastAsia="zh-CN"/>
              </w:rPr>
            </w:pPr>
            <w:r>
              <w:rPr>
                <w:rFonts w:hint="eastAsia"/>
                <w:sz w:val="15"/>
                <w:szCs w:val="15"/>
              </w:rPr>
              <w:t>6、颜色：根据采购人（甲方）需求。</w:t>
            </w:r>
          </w:p>
        </w:tc>
        <w:tc>
          <w:tcPr>
            <w:tcW w:w="768" w:type="pct"/>
            <w:shd w:val="clear" w:color="000000" w:fill="FFFFFF"/>
            <w:vAlign w:val="center"/>
          </w:tcPr>
          <w:p>
            <w:pPr>
              <w:pStyle w:val="2"/>
              <w:ind w:left="0" w:leftChars="0" w:firstLine="0" w:firstLineChars="0"/>
              <w:rPr>
                <w:rFonts w:hint="eastAsia" w:ascii="宋体" w:hAnsi="宋体" w:cs="宋体"/>
                <w:sz w:val="18"/>
                <w:szCs w:val="18"/>
                <w:highlight w:val="none"/>
                <w:lang w:val="en-US" w:eastAsia="zh-CN"/>
              </w:rPr>
            </w:pPr>
            <w:r>
              <w:drawing>
                <wp:inline distT="0" distB="0" distL="114300" distR="114300">
                  <wp:extent cx="908050" cy="890905"/>
                  <wp:effectExtent l="0" t="0" r="6350" b="4445"/>
                  <wp:docPr id="21" name="图片 20" descr="定做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定做桌"/>
                          <pic:cNvPicPr>
                            <a:picLocks noChangeAspect="1"/>
                          </pic:cNvPicPr>
                        </pic:nvPicPr>
                        <pic:blipFill>
                          <a:blip r:embed="rId8"/>
                          <a:srcRect t="13776" b="3499"/>
                          <a:stretch>
                            <a:fillRect/>
                          </a:stretch>
                        </pic:blipFill>
                        <pic:spPr>
                          <a:xfrm>
                            <a:off x="0" y="0"/>
                            <a:ext cx="908050" cy="89090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trPr>
        <w:tc>
          <w:tcPr>
            <w:tcW w:w="243"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2</w:t>
            </w:r>
          </w:p>
        </w:tc>
        <w:tc>
          <w:tcPr>
            <w:tcW w:w="530" w:type="pct"/>
            <w:shd w:val="clear" w:color="000000" w:fill="FFFFFF"/>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rPr>
              <w:t>定制</w:t>
            </w:r>
            <w:r>
              <w:rPr>
                <w:rFonts w:hint="eastAsia" w:ascii="宋体" w:hAnsi="宋体" w:eastAsia="宋体" w:cs="宋体"/>
                <w:sz w:val="24"/>
                <w:lang w:val="en-US" w:eastAsia="zh-CN"/>
              </w:rPr>
              <w:t>会议桌</w:t>
            </w:r>
          </w:p>
        </w:tc>
        <w:tc>
          <w:tcPr>
            <w:tcW w:w="347"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1</w:t>
            </w:r>
          </w:p>
        </w:tc>
        <w:tc>
          <w:tcPr>
            <w:tcW w:w="359" w:type="pct"/>
            <w:vAlign w:val="center"/>
          </w:tcPr>
          <w:p>
            <w:pPr>
              <w:spacing w:line="440" w:lineRule="exact"/>
              <w:jc w:val="center"/>
              <w:rPr>
                <w:rFonts w:hint="default" w:ascii="宋体" w:hAnsi="宋体" w:cs="宋体" w:eastAsiaTheme="minorEastAsia"/>
                <w:sz w:val="24"/>
                <w:lang w:val="en-US" w:eastAsia="zh-CN"/>
              </w:rPr>
            </w:pPr>
            <w:r>
              <w:rPr>
                <w:rFonts w:hint="eastAsia" w:ascii="宋体" w:hAnsi="宋体" w:cs="宋体"/>
                <w:sz w:val="24"/>
                <w:lang w:val="en-US" w:eastAsia="zh-CN"/>
              </w:rPr>
              <w:t>张</w:t>
            </w:r>
          </w:p>
        </w:tc>
        <w:tc>
          <w:tcPr>
            <w:tcW w:w="707" w:type="pct"/>
            <w:shd w:val="clear" w:color="000000" w:fill="FFFFFF"/>
            <w:vAlign w:val="center"/>
          </w:tcPr>
          <w:p>
            <w:pPr>
              <w:pStyle w:val="2"/>
              <w:ind w:left="0" w:leftChars="0" w:firstLine="0" w:firstLineChars="0"/>
              <w:jc w:val="left"/>
              <w:rPr>
                <w:rFonts w:hint="eastAsia" w:eastAsiaTheme="minorEastAsia"/>
                <w:lang w:val="en-US" w:eastAsia="zh-CN"/>
              </w:rPr>
            </w:pPr>
            <w:r>
              <w:rPr>
                <w:rFonts w:hint="eastAsia" w:ascii="宋体" w:hAnsi="宋体" w:eastAsia="宋体" w:cs="宋体"/>
                <w:sz w:val="24"/>
              </w:rPr>
              <w:t>2400*1200*760</w:t>
            </w:r>
            <w:r>
              <w:rPr>
                <w:rFonts w:hint="eastAsia" w:ascii="宋体" w:hAnsi="宋体" w:eastAsia="宋体" w:cs="宋体"/>
                <w:sz w:val="24"/>
                <w:lang w:val="en-US" w:eastAsia="zh-CN"/>
              </w:rPr>
              <w:t>mm</w:t>
            </w:r>
          </w:p>
        </w:tc>
        <w:tc>
          <w:tcPr>
            <w:tcW w:w="2042" w:type="pct"/>
            <w:vMerge w:val="continue"/>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eastAsiaTheme="minorEastAsia"/>
                <w:sz w:val="24"/>
                <w:highlight w:val="yellow"/>
                <w:lang w:eastAsia="zh-CN"/>
              </w:rPr>
            </w:pPr>
          </w:p>
        </w:tc>
        <w:tc>
          <w:tcPr>
            <w:tcW w:w="768" w:type="pct"/>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eastAsiaTheme="minorEastAsia"/>
                <w:sz w:val="24"/>
                <w:highlight w:val="yellow"/>
                <w:lang w:eastAsia="zh-CN"/>
              </w:rPr>
            </w:pPr>
            <w:r>
              <w:drawing>
                <wp:inline distT="0" distB="0" distL="114300" distR="114300">
                  <wp:extent cx="915670" cy="692150"/>
                  <wp:effectExtent l="0" t="0" r="17780" b="12700"/>
                  <wp:docPr id="11" name="图片 10" descr="会议桌阅览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会议桌阅览桌"/>
                          <pic:cNvPicPr>
                            <a:picLocks noChangeAspect="1"/>
                          </pic:cNvPicPr>
                        </pic:nvPicPr>
                        <pic:blipFill>
                          <a:blip r:embed="rId9"/>
                          <a:stretch>
                            <a:fillRect/>
                          </a:stretch>
                        </pic:blipFill>
                        <pic:spPr>
                          <a:xfrm>
                            <a:off x="0" y="0"/>
                            <a:ext cx="915670" cy="6921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243"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3</w:t>
            </w:r>
          </w:p>
        </w:tc>
        <w:tc>
          <w:tcPr>
            <w:tcW w:w="530" w:type="pct"/>
            <w:shd w:val="clear" w:color="000000" w:fill="FFFFFF"/>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rPr>
              <w:t>定制</w:t>
            </w:r>
            <w:r>
              <w:rPr>
                <w:rFonts w:hint="eastAsia" w:ascii="宋体" w:hAnsi="宋体" w:eastAsia="宋体" w:cs="宋体"/>
                <w:sz w:val="24"/>
                <w:lang w:val="en-US" w:eastAsia="zh-CN"/>
              </w:rPr>
              <w:t>矮柜</w:t>
            </w:r>
          </w:p>
        </w:tc>
        <w:tc>
          <w:tcPr>
            <w:tcW w:w="347" w:type="pct"/>
            <w:shd w:val="clear" w:color="auto" w:fill="auto"/>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1</w:t>
            </w:r>
          </w:p>
        </w:tc>
        <w:tc>
          <w:tcPr>
            <w:tcW w:w="359" w:type="pct"/>
            <w:vAlign w:val="center"/>
          </w:tcPr>
          <w:p>
            <w:pPr>
              <w:spacing w:line="440" w:lineRule="exact"/>
              <w:jc w:val="center"/>
              <w:rPr>
                <w:rFonts w:hint="default" w:ascii="宋体" w:hAnsi="宋体" w:cs="宋体" w:eastAsiaTheme="minorEastAsia"/>
                <w:sz w:val="24"/>
                <w:lang w:val="en-US" w:eastAsia="zh-CN"/>
              </w:rPr>
            </w:pPr>
            <w:r>
              <w:rPr>
                <w:rFonts w:hint="eastAsia" w:ascii="宋体" w:hAnsi="宋体" w:cs="宋体"/>
                <w:sz w:val="24"/>
                <w:lang w:val="en-US" w:eastAsia="zh-CN"/>
              </w:rPr>
              <w:t>组</w:t>
            </w:r>
          </w:p>
        </w:tc>
        <w:tc>
          <w:tcPr>
            <w:tcW w:w="707" w:type="pct"/>
            <w:shd w:val="clear" w:color="000000" w:fill="FFFFFF"/>
            <w:vAlign w:val="center"/>
          </w:tcPr>
          <w:p>
            <w:pPr>
              <w:spacing w:line="440" w:lineRule="exact"/>
              <w:rPr>
                <w:rFonts w:hint="eastAsia" w:ascii="宋体" w:hAnsi="宋体" w:eastAsia="宋体" w:cs="宋体"/>
                <w:sz w:val="24"/>
                <w:lang w:val="en-US" w:eastAsia="zh-CN"/>
              </w:rPr>
            </w:pPr>
            <w:r>
              <w:rPr>
                <w:rFonts w:hint="eastAsia" w:ascii="宋体" w:hAnsi="宋体" w:eastAsia="宋体" w:cs="宋体"/>
                <w:sz w:val="24"/>
                <w:szCs w:val="24"/>
              </w:rPr>
              <w:t>800*500*910</w:t>
            </w:r>
            <w:r>
              <w:rPr>
                <w:rFonts w:hint="eastAsia" w:ascii="宋体" w:hAnsi="宋体" w:eastAsia="宋体" w:cs="宋体"/>
                <w:sz w:val="24"/>
                <w:szCs w:val="24"/>
                <w:lang w:val="en-US" w:eastAsia="zh-CN"/>
              </w:rPr>
              <w:t>mm</w:t>
            </w:r>
          </w:p>
        </w:tc>
        <w:tc>
          <w:tcPr>
            <w:tcW w:w="2042" w:type="pct"/>
            <w:vMerge w:val="restart"/>
            <w:shd w:val="clear" w:color="000000" w:fill="FFFFFF"/>
            <w:vAlign w:val="center"/>
          </w:tcPr>
          <w:p>
            <w:pPr>
              <w:pStyle w:val="2"/>
              <w:numPr>
                <w:ilvl w:val="0"/>
                <w:numId w:val="2"/>
              </w:numPr>
              <w:ind w:left="0" w:leftChars="0" w:firstLine="0" w:firstLineChars="0"/>
              <w:rPr>
                <w:rFonts w:hint="eastAsia"/>
                <w:sz w:val="15"/>
                <w:szCs w:val="15"/>
              </w:rPr>
            </w:pPr>
            <w:r>
              <w:rPr>
                <w:rFonts w:hint="eastAsia"/>
                <w:sz w:val="15"/>
                <w:szCs w:val="15"/>
              </w:rPr>
              <w:t xml:space="preserve">基材：选用E0级或更高级别实木颗粒板，材料均经过防虫、防腐等化学处理，抗弯力强，不易变形。  </w:t>
            </w:r>
          </w:p>
          <w:p>
            <w:pPr>
              <w:pStyle w:val="2"/>
              <w:numPr>
                <w:ilvl w:val="0"/>
                <w:numId w:val="1"/>
              </w:numPr>
              <w:ind w:left="0" w:leftChars="0" w:firstLine="0" w:firstLineChars="0"/>
              <w:rPr>
                <w:rFonts w:hint="default"/>
                <w:sz w:val="15"/>
                <w:szCs w:val="15"/>
                <w:lang w:val="en-US" w:eastAsia="zh-CN"/>
              </w:rPr>
            </w:pPr>
            <w:r>
              <w:rPr>
                <w:rFonts w:hint="default"/>
                <w:sz w:val="15"/>
                <w:szCs w:val="15"/>
                <w:lang w:val="en-US" w:eastAsia="zh-CN"/>
              </w:rPr>
              <w:t>贴面：MFC贴面</w:t>
            </w:r>
            <w:r>
              <w:rPr>
                <w:rFonts w:hint="eastAsia"/>
                <w:sz w:val="15"/>
                <w:szCs w:val="15"/>
                <w:lang w:val="en-US" w:eastAsia="zh-CN"/>
              </w:rPr>
              <w:t>或更优材质贴面</w:t>
            </w:r>
            <w:r>
              <w:rPr>
                <w:rFonts w:hint="default"/>
                <w:sz w:val="15"/>
                <w:szCs w:val="15"/>
                <w:lang w:val="en-US" w:eastAsia="zh-CN"/>
              </w:rPr>
              <w:t>。</w:t>
            </w:r>
            <w:r>
              <w:rPr>
                <w:rFonts w:hint="eastAsia"/>
                <w:sz w:val="15"/>
                <w:szCs w:val="15"/>
                <w:lang w:val="en-US" w:eastAsia="zh-CN"/>
              </w:rPr>
              <w:t>具有</w:t>
            </w:r>
            <w:r>
              <w:rPr>
                <w:rFonts w:hint="default"/>
                <w:sz w:val="15"/>
                <w:szCs w:val="15"/>
                <w:lang w:val="en-US" w:eastAsia="zh-CN"/>
              </w:rPr>
              <w:t>防火</w:t>
            </w:r>
            <w:r>
              <w:rPr>
                <w:rFonts w:hint="eastAsia"/>
                <w:sz w:val="15"/>
                <w:szCs w:val="15"/>
                <w:lang w:val="en-US" w:eastAsia="zh-CN"/>
              </w:rPr>
              <w:t>、</w:t>
            </w:r>
            <w:r>
              <w:rPr>
                <w:rFonts w:hint="default"/>
                <w:sz w:val="15"/>
                <w:szCs w:val="15"/>
                <w:lang w:val="en-US" w:eastAsia="zh-CN"/>
              </w:rPr>
              <w:t>阻燃、耐磨性强、清洁方便等特点</w:t>
            </w:r>
            <w:r>
              <w:rPr>
                <w:rFonts w:hint="eastAsia"/>
                <w:sz w:val="15"/>
                <w:szCs w:val="15"/>
                <w:lang w:val="en-US" w:eastAsia="zh-CN"/>
              </w:rPr>
              <w:t>。</w:t>
            </w:r>
          </w:p>
          <w:p>
            <w:pPr>
              <w:pStyle w:val="2"/>
              <w:ind w:left="0" w:leftChars="0" w:firstLine="0" w:firstLineChars="0"/>
              <w:rPr>
                <w:rFonts w:hint="eastAsia"/>
                <w:sz w:val="15"/>
                <w:szCs w:val="15"/>
              </w:rPr>
            </w:pPr>
            <w:r>
              <w:rPr>
                <w:rFonts w:hint="eastAsia"/>
                <w:sz w:val="15"/>
                <w:szCs w:val="15"/>
              </w:rPr>
              <w:t>3、封边：采用进口PVC同色封边胶条或更优材质封边胶条，拉伸强度高，断裂伸长率好，直角撕裂强度高。</w:t>
            </w:r>
          </w:p>
          <w:p>
            <w:pPr>
              <w:pStyle w:val="2"/>
              <w:ind w:left="0" w:leftChars="0" w:firstLine="0" w:firstLineChars="0"/>
              <w:rPr>
                <w:rFonts w:hint="default"/>
                <w:lang w:val="en-US" w:eastAsia="zh-CN"/>
              </w:rPr>
            </w:pPr>
            <w:r>
              <w:rPr>
                <w:rFonts w:hint="default"/>
                <w:sz w:val="15"/>
                <w:szCs w:val="15"/>
                <w:lang w:val="en-US" w:eastAsia="zh-CN"/>
              </w:rPr>
              <w:t>4、五金配件：采用优质五金配件，表面无锈蚀痕迹、鼓泡、开裂、毛刺、露底。</w:t>
            </w:r>
          </w:p>
        </w:tc>
        <w:tc>
          <w:tcPr>
            <w:tcW w:w="768" w:type="pct"/>
            <w:shd w:val="clear" w:color="000000" w:fill="FFFFFF"/>
            <w:vAlign w:val="center"/>
          </w:tcPr>
          <w:p>
            <w:pPr>
              <w:pStyle w:val="2"/>
              <w:ind w:left="0" w:leftChars="0" w:firstLine="0" w:firstLineChars="0"/>
              <w:rPr>
                <w:rFonts w:hint="eastAsia" w:ascii="宋体" w:hAnsi="宋体" w:cs="宋体"/>
                <w:sz w:val="18"/>
                <w:szCs w:val="18"/>
                <w:highlight w:val="none"/>
                <w:lang w:val="en-US" w:eastAsia="zh-CN"/>
              </w:rPr>
            </w:pPr>
            <w:r>
              <w:drawing>
                <wp:inline distT="0" distB="0" distL="114300" distR="114300">
                  <wp:extent cx="979805" cy="883285"/>
                  <wp:effectExtent l="0" t="0" r="10795" b="12065"/>
                  <wp:docPr id="38" name="图片 37" descr="165518951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1655189519515"/>
                          <pic:cNvPicPr>
                            <a:picLocks noChangeAspect="1"/>
                          </pic:cNvPicPr>
                        </pic:nvPicPr>
                        <pic:blipFill>
                          <a:blip r:embed="rId10"/>
                          <a:stretch>
                            <a:fillRect/>
                          </a:stretch>
                        </pic:blipFill>
                        <pic:spPr>
                          <a:xfrm>
                            <a:off x="0" y="0"/>
                            <a:ext cx="979805" cy="8832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243" w:type="pct"/>
            <w:shd w:val="clear" w:color="auto" w:fill="auto"/>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4</w:t>
            </w:r>
          </w:p>
        </w:tc>
        <w:tc>
          <w:tcPr>
            <w:tcW w:w="530" w:type="pct"/>
            <w:shd w:val="clear" w:color="000000" w:fill="FFFFFF"/>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定制</w:t>
            </w:r>
            <w:r>
              <w:rPr>
                <w:rFonts w:hint="eastAsia" w:ascii="宋体" w:hAnsi="宋体" w:eastAsia="宋体" w:cs="宋体"/>
                <w:sz w:val="24"/>
                <w:lang w:val="en-US" w:eastAsia="zh-CN"/>
              </w:rPr>
              <w:t>活动柜</w:t>
            </w:r>
          </w:p>
        </w:tc>
        <w:tc>
          <w:tcPr>
            <w:tcW w:w="347" w:type="pct"/>
            <w:shd w:val="clear" w:color="auto" w:fill="auto"/>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4</w:t>
            </w:r>
          </w:p>
        </w:tc>
        <w:tc>
          <w:tcPr>
            <w:tcW w:w="359" w:type="pct"/>
            <w:vAlign w:val="center"/>
          </w:tcPr>
          <w:p>
            <w:pPr>
              <w:spacing w:line="440" w:lineRule="exact"/>
              <w:jc w:val="center"/>
              <w:rPr>
                <w:rFonts w:hint="eastAsia" w:ascii="宋体" w:hAnsi="宋体" w:cs="宋体" w:eastAsiaTheme="minorEastAsia"/>
                <w:kern w:val="2"/>
                <w:sz w:val="24"/>
                <w:szCs w:val="24"/>
                <w:lang w:val="en-US" w:eastAsia="zh-CN" w:bidi="ar-SA"/>
              </w:rPr>
            </w:pPr>
            <w:r>
              <w:rPr>
                <w:rFonts w:hint="eastAsia" w:ascii="宋体" w:hAnsi="宋体" w:cs="宋体"/>
                <w:sz w:val="24"/>
                <w:lang w:val="en-US" w:eastAsia="zh-CN"/>
              </w:rPr>
              <w:t>组</w:t>
            </w:r>
          </w:p>
        </w:tc>
        <w:tc>
          <w:tcPr>
            <w:tcW w:w="707" w:type="pct"/>
            <w:shd w:val="clear" w:color="000000" w:fill="FFFFFF"/>
            <w:vAlign w:val="center"/>
          </w:tcPr>
          <w:p>
            <w:pPr>
              <w:pStyle w:val="2"/>
              <w:ind w:left="0" w:leftChars="0" w:firstLine="0" w:firstLineChars="0"/>
              <w:rPr>
                <w:rFonts w:hint="eastAsia" w:asciiTheme="minorHAnsi" w:hAnsiTheme="minorHAnsi" w:eastAsiaTheme="minorEastAsia" w:cstheme="minorBidi"/>
                <w:kern w:val="2"/>
                <w:sz w:val="21"/>
                <w:szCs w:val="24"/>
                <w:lang w:val="en-US" w:eastAsia="zh-CN" w:bidi="ar-SA"/>
              </w:rPr>
            </w:pPr>
            <w:r>
              <w:rPr>
                <w:rFonts w:hint="eastAsia" w:asciiTheme="majorEastAsia" w:hAnsiTheme="majorEastAsia" w:eastAsiaTheme="majorEastAsia" w:cstheme="majorEastAsia"/>
                <w:sz w:val="24"/>
                <w:szCs w:val="24"/>
              </w:rPr>
              <w:t>400*450*620</w:t>
            </w:r>
            <w:r>
              <w:rPr>
                <w:rFonts w:hint="eastAsia" w:asciiTheme="majorEastAsia" w:hAnsiTheme="majorEastAsia" w:eastAsiaTheme="majorEastAsia" w:cstheme="majorEastAsia"/>
                <w:sz w:val="24"/>
                <w:szCs w:val="24"/>
                <w:lang w:val="en-US" w:eastAsia="zh-CN"/>
              </w:rPr>
              <w:t>mm</w:t>
            </w:r>
          </w:p>
        </w:tc>
        <w:tc>
          <w:tcPr>
            <w:tcW w:w="2042" w:type="pct"/>
            <w:vMerge w:val="continue"/>
            <w:shd w:val="clear" w:color="000000" w:fill="FFFFFF"/>
            <w:vAlign w:val="center"/>
          </w:tcPr>
          <w:p>
            <w:pPr>
              <w:spacing w:line="240" w:lineRule="auto"/>
              <w:rPr>
                <w:rFonts w:hint="default" w:ascii="宋体" w:hAnsi="宋体" w:cs="宋体" w:eastAsiaTheme="minorEastAsia"/>
                <w:kern w:val="2"/>
                <w:sz w:val="24"/>
                <w:szCs w:val="24"/>
                <w:highlight w:val="yellow"/>
                <w:lang w:val="en-US" w:eastAsia="zh-CN" w:bidi="ar-SA"/>
              </w:rPr>
            </w:pPr>
          </w:p>
        </w:tc>
        <w:tc>
          <w:tcPr>
            <w:tcW w:w="768" w:type="pct"/>
            <w:shd w:val="clear" w:color="000000" w:fill="FFFFFF"/>
            <w:vAlign w:val="center"/>
          </w:tcPr>
          <w:p>
            <w:pPr>
              <w:spacing w:line="240" w:lineRule="auto"/>
              <w:rPr>
                <w:rFonts w:hint="default" w:ascii="宋体" w:hAnsi="宋体" w:cs="宋体" w:eastAsiaTheme="minorEastAsia"/>
                <w:kern w:val="2"/>
                <w:sz w:val="24"/>
                <w:szCs w:val="24"/>
                <w:highlight w:val="yellow"/>
                <w:lang w:val="en-US" w:eastAsia="zh-CN" w:bidi="ar-SA"/>
              </w:rPr>
            </w:pPr>
            <w:r>
              <w:drawing>
                <wp:inline distT="0" distB="0" distL="114300" distR="114300">
                  <wp:extent cx="723900" cy="949325"/>
                  <wp:effectExtent l="0" t="0" r="0" b="3175"/>
                  <wp:docPr id="7" name="图片 6" descr="5e3f4fd798cfb3d520b03427a8d9d4d4_quality,Q_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5e3f4fd798cfb3d520b03427a8d9d4d4_quality,Q_80"/>
                          <pic:cNvPicPr>
                            <a:picLocks noChangeAspect="1"/>
                          </pic:cNvPicPr>
                        </pic:nvPicPr>
                        <pic:blipFill>
                          <a:blip r:embed="rId11"/>
                          <a:srcRect l="13372" t="15871" r="9589" b="8526"/>
                          <a:stretch>
                            <a:fillRect/>
                          </a:stretch>
                        </pic:blipFill>
                        <pic:spPr>
                          <a:xfrm>
                            <a:off x="0" y="0"/>
                            <a:ext cx="723900" cy="949325"/>
                          </a:xfrm>
                          <a:prstGeom prst="rect">
                            <a:avLst/>
                          </a:prstGeom>
                        </pic:spPr>
                      </pic:pic>
                    </a:graphicData>
                  </a:graphic>
                </wp:inline>
              </w:drawing>
            </w:r>
          </w:p>
        </w:tc>
      </w:tr>
    </w:tbl>
    <w:p>
      <w:pPr>
        <w:pStyle w:val="2"/>
        <w:widowControl w:val="0"/>
        <w:numPr>
          <w:ilvl w:val="0"/>
          <w:numId w:val="0"/>
        </w:numPr>
        <w:jc w:val="both"/>
        <w:rPr>
          <w:rFonts w:hint="default" w:ascii="宋体" w:hAnsi="宋体" w:eastAsia="宋体" w:cs="宋体"/>
          <w:sz w:val="24"/>
          <w:lang w:val="en-US" w:eastAsia="zh-CN"/>
        </w:rPr>
      </w:pPr>
    </w:p>
    <w:p>
      <w:pPr>
        <w:pStyle w:val="2"/>
        <w:spacing w:line="360" w:lineRule="auto"/>
        <w:ind w:firstLine="0" w:firstLineChars="0"/>
        <w:rPr>
          <w:rFonts w:hint="eastAsia" w:ascii="宋体" w:hAnsi="宋体" w:eastAsia="宋体" w:cs="宋体"/>
          <w:sz w:val="24"/>
          <w:lang w:val="en-US" w:eastAsia="zh-CN"/>
        </w:rPr>
      </w:pPr>
      <w:r>
        <w:rPr>
          <w:rFonts w:hint="eastAsia" w:ascii="宋体" w:hAnsi="宋体" w:eastAsia="宋体" w:cs="宋体"/>
          <w:sz w:val="24"/>
          <w:lang w:val="en-US" w:eastAsia="zh-CN"/>
        </w:rPr>
        <w:t>注：以上各产品规格尺寸仅做参考，具体以现场实际测量为准。</w:t>
      </w:r>
    </w:p>
    <w:p>
      <w:pPr>
        <w:pStyle w:val="2"/>
        <w:ind w:firstLine="0" w:firstLineChars="0"/>
        <w:rPr>
          <w:rFonts w:hint="default" w:ascii="宋体" w:hAnsi="宋体" w:eastAsia="宋体" w:cs="宋体"/>
          <w:sz w:val="24"/>
          <w:lang w:val="en-US" w:eastAsia="zh-CN"/>
        </w:rPr>
      </w:pPr>
    </w:p>
    <w:p>
      <w:pPr>
        <w:pStyle w:val="2"/>
        <w:ind w:firstLine="0" w:firstLineChars="0"/>
        <w:rPr>
          <w:rFonts w:hint="default" w:ascii="宋体" w:hAnsi="宋体" w:eastAsia="宋体" w:cs="宋体"/>
          <w:sz w:val="24"/>
          <w:lang w:val="en-US" w:eastAsia="zh-CN"/>
        </w:rPr>
      </w:pPr>
    </w:p>
    <w:p>
      <w:pPr>
        <w:pStyle w:val="2"/>
        <w:ind w:firstLine="0" w:firstLineChars="0"/>
        <w:rPr>
          <w:rFonts w:hint="default" w:ascii="宋体" w:hAnsi="宋体" w:eastAsia="宋体" w:cs="宋体"/>
          <w:sz w:val="24"/>
          <w:lang w:val="en-US" w:eastAsia="zh-CN"/>
        </w:rPr>
      </w:pPr>
    </w:p>
    <w:p>
      <w:pPr>
        <w:pStyle w:val="2"/>
        <w:numPr>
          <w:ilvl w:val="0"/>
          <w:numId w:val="0"/>
        </w:numPr>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三、付款方式：</w:t>
      </w:r>
    </w:p>
    <w:p>
      <w:pPr>
        <w:pStyle w:val="2"/>
        <w:numPr>
          <w:ilvl w:val="0"/>
          <w:numId w:val="0"/>
        </w:numPr>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全部货物交付完毕并经最终验收合格后60天内，乙方向甲方开具</w:t>
      </w:r>
      <w:r>
        <w:rPr>
          <w:rFonts w:hint="eastAsia" w:ascii="宋体" w:hAnsi="宋体" w:eastAsia="宋体" w:cs="宋体"/>
          <w:sz w:val="24"/>
          <w:lang w:val="en-US" w:eastAsia="zh-CN"/>
        </w:rPr>
        <w:t>与</w:t>
      </w:r>
      <w:r>
        <w:rPr>
          <w:rFonts w:hint="default" w:ascii="宋体" w:hAnsi="宋体" w:eastAsia="宋体" w:cs="宋体"/>
          <w:sz w:val="24"/>
          <w:lang w:val="en-US" w:eastAsia="zh-CN"/>
        </w:rPr>
        <w:t>合同同等金额</w:t>
      </w:r>
      <w:r>
        <w:rPr>
          <w:rFonts w:hint="eastAsia" w:ascii="宋体" w:hAnsi="宋体" w:eastAsia="宋体" w:cs="宋体"/>
          <w:sz w:val="24"/>
          <w:lang w:val="en-US" w:eastAsia="zh-CN"/>
        </w:rPr>
        <w:t>的</w:t>
      </w:r>
      <w:r>
        <w:rPr>
          <w:rFonts w:hint="default" w:ascii="宋体" w:hAnsi="宋体" w:eastAsia="宋体" w:cs="宋体"/>
          <w:sz w:val="24"/>
          <w:lang w:val="en-US" w:eastAsia="zh-CN"/>
        </w:rPr>
        <w:t>增值税发票，甲方在收到发票后60天内向乙方支付全部合同价款。</w:t>
      </w:r>
    </w:p>
    <w:p>
      <w:pPr>
        <w:pStyle w:val="2"/>
        <w:numPr>
          <w:ilvl w:val="0"/>
          <w:numId w:val="0"/>
        </w:numPr>
        <w:spacing w:line="360" w:lineRule="auto"/>
        <w:ind w:firstLine="480" w:firstLineChars="200"/>
        <w:rPr>
          <w:rFonts w:hint="default" w:ascii="宋体" w:hAnsi="宋体" w:eastAsia="宋体" w:cs="宋体"/>
          <w:sz w:val="24"/>
          <w:lang w:val="en-US" w:eastAsia="zh-CN"/>
        </w:rPr>
      </w:pPr>
    </w:p>
    <w:p>
      <w:pPr>
        <w:pStyle w:val="2"/>
        <w:numPr>
          <w:ilvl w:val="0"/>
          <w:numId w:val="0"/>
        </w:numPr>
        <w:spacing w:line="360" w:lineRule="auto"/>
        <w:ind w:left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四、货物质量保证和标准</w:t>
      </w:r>
    </w:p>
    <w:p>
      <w:pPr>
        <w:pStyle w:val="2"/>
        <w:numPr>
          <w:ilvl w:val="0"/>
          <w:numId w:val="0"/>
        </w:numPr>
        <w:spacing w:line="360" w:lineRule="auto"/>
        <w:ind w:leftChars="0"/>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本项目所有产品应提供自货物验收合格并交付使用后至少3年的现场免费质保期，如厂商本身承诺的产品质保期高于此要求的则按照厂商承诺执行。在质量保证期内，卖方对由于产品设计、工艺、材料、配套件的缺陷而造成的任何产品质量问题或故障负责。</w:t>
      </w:r>
    </w:p>
    <w:p>
      <w:pPr>
        <w:pStyle w:val="2"/>
        <w:numPr>
          <w:ilvl w:val="0"/>
          <w:numId w:val="0"/>
        </w:numPr>
        <w:spacing w:line="360" w:lineRule="auto"/>
        <w:ind w:leftChars="0"/>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2、货物的设计、制造、质量验收标准应符合国家（或国际）最新颁布的有关标准/规范要求或相应的国际标准。</w:t>
      </w:r>
    </w:p>
    <w:p>
      <w:pPr>
        <w:pStyle w:val="2"/>
        <w:numPr>
          <w:ilvl w:val="0"/>
          <w:numId w:val="0"/>
        </w:numPr>
        <w:spacing w:line="360" w:lineRule="auto"/>
        <w:ind w:leftChars="0"/>
        <w:rPr>
          <w:rFonts w:hint="eastAsia" w:ascii="宋体" w:hAnsi="宋体" w:eastAsia="宋体" w:cs="宋体"/>
          <w:b w:val="0"/>
          <w:bCs w:val="0"/>
          <w:sz w:val="24"/>
          <w:lang w:val="en-US" w:eastAsia="zh-CN"/>
        </w:rPr>
      </w:pPr>
    </w:p>
    <w:p>
      <w:pPr>
        <w:pStyle w:val="2"/>
        <w:numPr>
          <w:ilvl w:val="0"/>
          <w:numId w:val="0"/>
        </w:numPr>
        <w:spacing w:line="360" w:lineRule="auto"/>
        <w:ind w:leftChars="0"/>
        <w:rPr>
          <w:rFonts w:hint="eastAsia"/>
          <w:b/>
          <w:bCs/>
          <w:sz w:val="24"/>
          <w:szCs w:val="24"/>
          <w:lang w:val="en-US" w:eastAsia="zh-CN"/>
        </w:rPr>
      </w:pPr>
      <w:r>
        <w:rPr>
          <w:rFonts w:hint="eastAsia"/>
          <w:b/>
          <w:bCs/>
          <w:sz w:val="24"/>
          <w:szCs w:val="24"/>
          <w:lang w:val="en-US" w:eastAsia="zh-CN"/>
        </w:rPr>
        <w:t>五、质量保证及售后服务</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1、所供应的货物是最新生产的符合国家技术规格和质量标准的出厂原装合格产品。</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2、所提供的货物在质保期内因货物本身发生质量问题的，供应商应负责免费更换。对达不到质量要求者，根据实际情况，经双方协商，可按以下办法处理：</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3、在质保期内，乙方应对货物出现的质量及安全问题负责处理解决并承担一切费用。</w:t>
      </w:r>
    </w:p>
    <w:p>
      <w:pPr>
        <w:pStyle w:val="2"/>
        <w:numPr>
          <w:ilvl w:val="0"/>
          <w:numId w:val="0"/>
        </w:numPr>
        <w:spacing w:line="360" w:lineRule="auto"/>
        <w:rPr>
          <w:rFonts w:hint="eastAsia"/>
          <w:sz w:val="24"/>
          <w:szCs w:val="24"/>
          <w:lang w:val="en-US" w:eastAsia="zh-CN"/>
        </w:rPr>
      </w:pPr>
    </w:p>
    <w:p>
      <w:pPr>
        <w:pStyle w:val="2"/>
        <w:numPr>
          <w:ilvl w:val="0"/>
          <w:numId w:val="0"/>
        </w:numPr>
        <w:spacing w:line="360" w:lineRule="auto"/>
        <w:rPr>
          <w:rFonts w:hint="eastAsia"/>
          <w:sz w:val="24"/>
          <w:szCs w:val="24"/>
          <w:lang w:val="en-US" w:eastAsia="zh-CN"/>
        </w:rPr>
      </w:pPr>
    </w:p>
    <w:p>
      <w:pPr>
        <w:pStyle w:val="2"/>
        <w:numPr>
          <w:ilvl w:val="0"/>
          <w:numId w:val="0"/>
        </w:numPr>
        <w:spacing w:line="360" w:lineRule="auto"/>
        <w:rPr>
          <w:rFonts w:hint="eastAsia"/>
          <w:sz w:val="24"/>
          <w:szCs w:val="24"/>
          <w:lang w:val="en-US" w:eastAsia="zh-CN"/>
        </w:rPr>
      </w:pPr>
    </w:p>
    <w:p>
      <w:pPr>
        <w:pStyle w:val="2"/>
        <w:numPr>
          <w:ilvl w:val="0"/>
          <w:numId w:val="0"/>
        </w:numPr>
        <w:spacing w:line="360" w:lineRule="auto"/>
        <w:rPr>
          <w:rFonts w:hint="default"/>
          <w:b/>
          <w:bCs/>
          <w:sz w:val="24"/>
          <w:szCs w:val="24"/>
          <w:lang w:val="en-US" w:eastAsia="zh-CN"/>
        </w:rPr>
      </w:pPr>
      <w:r>
        <w:rPr>
          <w:rFonts w:hint="eastAsia"/>
          <w:b/>
          <w:bCs/>
          <w:sz w:val="24"/>
          <w:szCs w:val="24"/>
          <w:lang w:val="en-US" w:eastAsia="zh-CN"/>
        </w:rPr>
        <w:t>六、</w:t>
      </w:r>
      <w:r>
        <w:rPr>
          <w:rFonts w:hint="default"/>
          <w:b/>
          <w:bCs/>
          <w:sz w:val="24"/>
          <w:szCs w:val="24"/>
          <w:lang w:val="en-US" w:eastAsia="zh-CN"/>
        </w:rPr>
        <w:t>货物的到货、安装、调试和验收</w:t>
      </w:r>
    </w:p>
    <w:p>
      <w:pPr>
        <w:pStyle w:val="2"/>
        <w:numPr>
          <w:ilvl w:val="0"/>
          <w:numId w:val="0"/>
        </w:numPr>
        <w:spacing w:line="360" w:lineRule="auto"/>
        <w:rPr>
          <w:rFonts w:hint="default"/>
          <w:sz w:val="24"/>
          <w:szCs w:val="24"/>
          <w:lang w:val="en-US" w:eastAsia="zh-CN"/>
        </w:rPr>
      </w:pPr>
      <w:r>
        <w:rPr>
          <w:rFonts w:hint="eastAsia"/>
          <w:sz w:val="24"/>
          <w:szCs w:val="24"/>
          <w:lang w:val="en-US" w:eastAsia="zh-CN"/>
        </w:rPr>
        <w:t>1、</w:t>
      </w:r>
      <w:r>
        <w:rPr>
          <w:rFonts w:hint="default"/>
          <w:sz w:val="24"/>
          <w:szCs w:val="24"/>
          <w:lang w:val="en-US" w:eastAsia="zh-CN"/>
        </w:rPr>
        <w:t xml:space="preserve">到货 </w:t>
      </w:r>
    </w:p>
    <w:p>
      <w:pPr>
        <w:pStyle w:val="2"/>
        <w:numPr>
          <w:ilvl w:val="0"/>
          <w:numId w:val="0"/>
        </w:numPr>
        <w:spacing w:line="360" w:lineRule="auto"/>
        <w:ind w:firstLine="480" w:firstLineChars="200"/>
        <w:rPr>
          <w:rFonts w:hint="default"/>
          <w:sz w:val="24"/>
          <w:szCs w:val="24"/>
          <w:lang w:val="en-US" w:eastAsia="zh-CN"/>
        </w:rPr>
      </w:pPr>
      <w:r>
        <w:rPr>
          <w:rFonts w:hint="default"/>
          <w:sz w:val="24"/>
          <w:szCs w:val="24"/>
          <w:lang w:val="en-US" w:eastAsia="zh-CN"/>
        </w:rPr>
        <w:t>卖方必须在合同规定的时间内完成货物的供货。货物到达现场后，卖方必须派员到现场与买方一起开箱并按供货清单验收</w:t>
      </w:r>
      <w:r>
        <w:rPr>
          <w:rFonts w:hint="eastAsia"/>
          <w:sz w:val="24"/>
          <w:szCs w:val="24"/>
          <w:lang w:val="en-US" w:eastAsia="zh-CN"/>
        </w:rPr>
        <w:t>，</w:t>
      </w:r>
      <w:r>
        <w:rPr>
          <w:rFonts w:hint="default"/>
          <w:sz w:val="24"/>
          <w:szCs w:val="24"/>
          <w:lang w:val="en-US" w:eastAsia="zh-CN"/>
        </w:rPr>
        <w:t>若有缺少或损坏，卖方应立即补足或更换全新同规格产品，直至买方满意为止。</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2</w:t>
      </w:r>
      <w:r>
        <w:rPr>
          <w:rFonts w:hint="eastAsia"/>
          <w:sz w:val="24"/>
          <w:szCs w:val="24"/>
          <w:lang w:val="en-US" w:eastAsia="zh-CN"/>
        </w:rPr>
        <w:t>、</w:t>
      </w:r>
      <w:r>
        <w:rPr>
          <w:rFonts w:hint="default"/>
          <w:sz w:val="24"/>
          <w:szCs w:val="24"/>
          <w:lang w:val="en-US" w:eastAsia="zh-CN"/>
        </w:rPr>
        <w:t>安装</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2.1</w:t>
      </w:r>
      <w:r>
        <w:rPr>
          <w:rFonts w:hint="eastAsia"/>
          <w:sz w:val="24"/>
          <w:szCs w:val="24"/>
          <w:lang w:val="en-US" w:eastAsia="zh-CN"/>
        </w:rPr>
        <w:t xml:space="preserve">  </w:t>
      </w:r>
      <w:r>
        <w:rPr>
          <w:rFonts w:hint="default"/>
          <w:sz w:val="24"/>
          <w:szCs w:val="24"/>
          <w:lang w:val="en-US" w:eastAsia="zh-CN"/>
        </w:rPr>
        <w:t>货物到达买方指定地点后，卖方应按买方规定的日期指派工程技术人员对货物进行安装调试，直至通过验收。货物的安装调试及现场培训应在合同规定的期限内完成。</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2.2  设备的安装必须符合有关标准和规范。安装过程中买方将对货物的安装质量进行监督。</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3</w:t>
      </w:r>
      <w:r>
        <w:rPr>
          <w:rFonts w:hint="eastAsia"/>
          <w:sz w:val="24"/>
          <w:szCs w:val="24"/>
          <w:lang w:val="en-US" w:eastAsia="zh-CN"/>
        </w:rPr>
        <w:t>、</w:t>
      </w:r>
      <w:r>
        <w:rPr>
          <w:rFonts w:hint="default"/>
          <w:sz w:val="24"/>
          <w:szCs w:val="24"/>
          <w:lang w:val="en-US" w:eastAsia="zh-CN"/>
        </w:rPr>
        <w:t>调试</w:t>
      </w:r>
    </w:p>
    <w:p>
      <w:pPr>
        <w:pStyle w:val="2"/>
        <w:numPr>
          <w:ilvl w:val="0"/>
          <w:numId w:val="0"/>
        </w:numPr>
        <w:spacing w:line="360" w:lineRule="auto"/>
        <w:ind w:firstLine="480" w:firstLineChars="200"/>
        <w:rPr>
          <w:rFonts w:hint="default"/>
          <w:sz w:val="24"/>
          <w:szCs w:val="24"/>
          <w:lang w:val="en-US" w:eastAsia="zh-CN"/>
        </w:rPr>
      </w:pPr>
      <w:r>
        <w:rPr>
          <w:rFonts w:hint="default"/>
          <w:sz w:val="24"/>
          <w:szCs w:val="24"/>
          <w:lang w:val="en-US" w:eastAsia="zh-CN"/>
        </w:rPr>
        <w:t>货物安装就位、校准后，卖方应按事先被买方认可的调试验收计划对货物进行调试，并对货物所标注的各项技术参数进行测试，测试报告将在货物验收完毕后提交给买方，但卖方应对测试的各种数据的真实性负责。买方也可以要求具有检测资质的第三方用专用仪器对货物进行功能 、性能测试，卖方负责所需的一切费用。</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4</w:t>
      </w:r>
      <w:r>
        <w:rPr>
          <w:rFonts w:hint="eastAsia"/>
          <w:sz w:val="24"/>
          <w:szCs w:val="24"/>
          <w:lang w:val="en-US" w:eastAsia="zh-CN"/>
        </w:rPr>
        <w:t>、</w:t>
      </w:r>
      <w:r>
        <w:rPr>
          <w:rFonts w:hint="default"/>
          <w:sz w:val="24"/>
          <w:szCs w:val="24"/>
          <w:lang w:val="en-US" w:eastAsia="zh-CN"/>
        </w:rPr>
        <w:t>验收</w:t>
      </w:r>
    </w:p>
    <w:p>
      <w:pPr>
        <w:pStyle w:val="2"/>
        <w:numPr>
          <w:ilvl w:val="0"/>
          <w:numId w:val="0"/>
        </w:numPr>
        <w:spacing w:line="360" w:lineRule="auto"/>
        <w:ind w:firstLine="480" w:firstLineChars="200"/>
        <w:rPr>
          <w:rFonts w:hint="default"/>
          <w:sz w:val="24"/>
          <w:szCs w:val="24"/>
          <w:lang w:val="en-US" w:eastAsia="zh-CN"/>
        </w:rPr>
      </w:pPr>
      <w:r>
        <w:rPr>
          <w:rFonts w:hint="default"/>
          <w:sz w:val="24"/>
          <w:szCs w:val="24"/>
          <w:lang w:val="en-US" w:eastAsia="zh-CN"/>
        </w:rPr>
        <w:t>货物经过试运行考核无故障（或存在的故障和隐患均已全部排除），并经相关部门检验合格，所有的技术资料和图纸已向买方提交并被接受，验收视为合格，买卖双方签署验收合格证书。 若因卖方产品质量或安装技术问题导致验收不合格，卖方应及时予以处理，直至验收合格，期间发生的一切相关费用由卖方承担，买方保留向卖方索赔的权利。</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5</w:t>
      </w:r>
      <w:r>
        <w:rPr>
          <w:rFonts w:hint="eastAsia"/>
          <w:sz w:val="24"/>
          <w:szCs w:val="24"/>
          <w:lang w:val="en-US" w:eastAsia="zh-CN"/>
        </w:rPr>
        <w:t>、</w:t>
      </w:r>
      <w:r>
        <w:rPr>
          <w:rFonts w:hint="default"/>
          <w:sz w:val="24"/>
          <w:szCs w:val="24"/>
          <w:lang w:val="en-US" w:eastAsia="zh-CN"/>
        </w:rPr>
        <w:t>若因卖方产品质量或安装技术问题导致货物二次验收都不合格，买方有权选择退货，并保留向卖方索赔的权利。</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6</w:t>
      </w:r>
      <w:r>
        <w:rPr>
          <w:rFonts w:hint="eastAsia"/>
          <w:sz w:val="24"/>
          <w:szCs w:val="24"/>
          <w:lang w:val="en-US" w:eastAsia="zh-CN"/>
        </w:rPr>
        <w:t>、</w:t>
      </w:r>
      <w:r>
        <w:rPr>
          <w:rFonts w:hint="default"/>
          <w:sz w:val="24"/>
          <w:szCs w:val="24"/>
          <w:lang w:val="en-US" w:eastAsia="zh-CN"/>
        </w:rPr>
        <w:t>卖方在货物到货、安装、调试和验收期间应接受买方的协调和管理，卖方应采取严格的防范措施，承担由于自身原因所造成的事故责任及其发生的一切费用。</w:t>
      </w:r>
    </w:p>
    <w:p>
      <w:pPr>
        <w:pStyle w:val="2"/>
        <w:numPr>
          <w:ilvl w:val="0"/>
          <w:numId w:val="0"/>
        </w:numPr>
        <w:spacing w:line="360" w:lineRule="auto"/>
        <w:rPr>
          <w:rFonts w:hint="default"/>
          <w:sz w:val="24"/>
          <w:szCs w:val="24"/>
          <w:lang w:val="en-US" w:eastAsia="zh-CN"/>
        </w:rPr>
      </w:pPr>
    </w:p>
    <w:p>
      <w:pPr>
        <w:pStyle w:val="2"/>
        <w:numPr>
          <w:ilvl w:val="0"/>
          <w:numId w:val="0"/>
        </w:numPr>
        <w:spacing w:line="360" w:lineRule="auto"/>
        <w:rPr>
          <w:rFonts w:hint="default"/>
          <w:b/>
          <w:bCs/>
          <w:sz w:val="24"/>
          <w:szCs w:val="24"/>
          <w:lang w:val="en-US" w:eastAsia="zh-CN"/>
        </w:rPr>
      </w:pPr>
      <w:r>
        <w:rPr>
          <w:rFonts w:hint="default"/>
          <w:b/>
          <w:bCs/>
          <w:sz w:val="24"/>
          <w:szCs w:val="24"/>
          <w:lang w:val="en-US" w:eastAsia="zh-CN"/>
        </w:rPr>
        <w:t>七</w:t>
      </w:r>
      <w:r>
        <w:rPr>
          <w:rFonts w:hint="eastAsia"/>
          <w:b/>
          <w:bCs/>
          <w:sz w:val="24"/>
          <w:szCs w:val="24"/>
          <w:lang w:val="en-US" w:eastAsia="zh-CN"/>
        </w:rPr>
        <w:t>、</w:t>
      </w:r>
      <w:r>
        <w:rPr>
          <w:rFonts w:hint="default"/>
          <w:b/>
          <w:bCs/>
          <w:sz w:val="24"/>
          <w:szCs w:val="24"/>
          <w:lang w:val="en-US" w:eastAsia="zh-CN"/>
        </w:rPr>
        <w:t>技术服务和人员培训</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1</w:t>
      </w:r>
      <w:r>
        <w:rPr>
          <w:rFonts w:hint="eastAsia"/>
          <w:sz w:val="24"/>
          <w:szCs w:val="24"/>
          <w:lang w:val="en-US" w:eastAsia="zh-CN"/>
        </w:rPr>
        <w:t>、</w:t>
      </w:r>
      <w:r>
        <w:rPr>
          <w:rFonts w:hint="default"/>
          <w:sz w:val="24"/>
          <w:szCs w:val="24"/>
          <w:lang w:val="en-US" w:eastAsia="zh-CN"/>
        </w:rPr>
        <w:t>维修技术服务。出现质量问题而买方无法自行解决的，卖方在接到买方的维修电话或传真通知后10分钟内作出响应，电话沟通无法解决的，卖方维修人员应在60分钟内到达现场进行维修，排除故障，重大质量问题一时无法解决的，卖方应提出解决问题的应急处理预案。提供7×24小时电话咨询服务。</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2</w:t>
      </w:r>
      <w:r>
        <w:rPr>
          <w:rFonts w:hint="eastAsia"/>
          <w:sz w:val="24"/>
          <w:szCs w:val="24"/>
          <w:lang w:val="en-US" w:eastAsia="zh-CN"/>
        </w:rPr>
        <w:t>、</w:t>
      </w:r>
      <w:r>
        <w:rPr>
          <w:rFonts w:hint="default"/>
          <w:sz w:val="24"/>
          <w:szCs w:val="24"/>
          <w:lang w:val="en-US" w:eastAsia="zh-CN"/>
        </w:rPr>
        <w:t>合同规定的期限内，卖方应派遣有经验的工程技术人员在安装调试现场对买方指派人员进行操作和保养培训，使其能独立操作、维护、包养。培训计划方案（培训人数、时间、地点、教材、费用）应在投标文件中详细说明。其费用可单独报价，计入总价，如免费培训需在投标文件中作出说明。</w:t>
      </w:r>
    </w:p>
    <w:p>
      <w:pPr>
        <w:pStyle w:val="2"/>
        <w:numPr>
          <w:ilvl w:val="0"/>
          <w:numId w:val="0"/>
        </w:numPr>
        <w:spacing w:line="360" w:lineRule="auto"/>
        <w:rPr>
          <w:rFonts w:hint="default"/>
          <w:sz w:val="24"/>
          <w:szCs w:val="24"/>
          <w:lang w:val="en-US" w:eastAsia="zh-CN"/>
        </w:rPr>
      </w:pPr>
      <w:r>
        <w:rPr>
          <w:rFonts w:hint="default"/>
          <w:sz w:val="24"/>
          <w:szCs w:val="24"/>
          <w:lang w:val="en-US" w:eastAsia="zh-CN"/>
        </w:rPr>
        <w:t>3</w:t>
      </w:r>
      <w:r>
        <w:rPr>
          <w:rFonts w:hint="eastAsia"/>
          <w:sz w:val="24"/>
          <w:szCs w:val="24"/>
          <w:lang w:val="en-US" w:eastAsia="zh-CN"/>
        </w:rPr>
        <w:t>、</w:t>
      </w:r>
      <w:r>
        <w:rPr>
          <w:rFonts w:hint="default"/>
          <w:sz w:val="24"/>
          <w:szCs w:val="24"/>
          <w:lang w:val="en-US" w:eastAsia="zh-CN"/>
        </w:rPr>
        <w:t>质保期满后，卖方工程技术、维修人员也须不定期的进行回访，并为买方提供优质、优价的终身维修和产品维护保养。</w:t>
      </w:r>
    </w:p>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804094"/>
    <w:multiLevelType w:val="singleLevel"/>
    <w:tmpl w:val="F0804094"/>
    <w:lvl w:ilvl="0" w:tentative="0">
      <w:start w:val="1"/>
      <w:numFmt w:val="decimal"/>
      <w:suff w:val="nothing"/>
      <w:lvlText w:val="%1、"/>
      <w:lvlJc w:val="left"/>
    </w:lvl>
  </w:abstractNum>
  <w:abstractNum w:abstractNumId="1">
    <w:nsid w:val="3CB72CC1"/>
    <w:multiLevelType w:val="singleLevel"/>
    <w:tmpl w:val="3CB72CC1"/>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s>
  <w:rsids>
    <w:rsidRoot w:val="00A02A37"/>
    <w:rsid w:val="0007646E"/>
    <w:rsid w:val="002A0406"/>
    <w:rsid w:val="007373BC"/>
    <w:rsid w:val="00A02A37"/>
    <w:rsid w:val="00A457FA"/>
    <w:rsid w:val="00F0269D"/>
    <w:rsid w:val="04684506"/>
    <w:rsid w:val="06043E9E"/>
    <w:rsid w:val="06E15E3C"/>
    <w:rsid w:val="0C300A04"/>
    <w:rsid w:val="10C71F5A"/>
    <w:rsid w:val="1D3C515C"/>
    <w:rsid w:val="226E2973"/>
    <w:rsid w:val="291122AA"/>
    <w:rsid w:val="2EBF307B"/>
    <w:rsid w:val="37B235FD"/>
    <w:rsid w:val="47FD3F63"/>
    <w:rsid w:val="48C84ABD"/>
    <w:rsid w:val="4FD147A1"/>
    <w:rsid w:val="536C61AC"/>
    <w:rsid w:val="586D09FC"/>
    <w:rsid w:val="5A0F768E"/>
    <w:rsid w:val="5A3C73F0"/>
    <w:rsid w:val="62BD2580"/>
    <w:rsid w:val="6EAD47D5"/>
    <w:rsid w:val="747B3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ind w:firstLine="555"/>
    </w:pPr>
  </w:style>
  <w:style w:type="paragraph" w:styleId="4">
    <w:name w:val="Balloon Text"/>
    <w:basedOn w:val="1"/>
    <w:link w:val="9"/>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批注框文本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2581</Words>
  <Characters>2721</Characters>
  <Lines>1</Lines>
  <Paragraphs>1</Paragraphs>
  <TotalTime>6</TotalTime>
  <ScaleCrop>false</ScaleCrop>
  <LinksUpToDate>false</LinksUpToDate>
  <CharactersWithSpaces>2879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天津卫</cp:lastModifiedBy>
  <dcterms:modified xsi:type="dcterms:W3CDTF">2022-06-24T06:40:05Z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7C5A16EDF2E647309599E4BF75944C46</vt:lpwstr>
  </property>
</Properties>
</file>