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Style w:val="13"/>
          <w:rFonts w:hint="eastAsia" w:asciiTheme="minorEastAsia" w:hAnsiTheme="minorEastAsia" w:eastAsiaTheme="minorEastAsia" w:cstheme="minorEastAsia"/>
          <w:b/>
          <w:bCs/>
          <w:sz w:val="32"/>
          <w:szCs w:val="32"/>
          <w:lang w:val="en-US" w:eastAsia="zh-CN"/>
        </w:rPr>
      </w:pPr>
      <w:r>
        <w:rPr>
          <w:rStyle w:val="13"/>
          <w:rFonts w:hint="eastAsia" w:asciiTheme="minorEastAsia" w:hAnsiTheme="minorEastAsia" w:eastAsiaTheme="minorEastAsia" w:cstheme="minorEastAsia"/>
          <w:b/>
          <w:bCs/>
          <w:sz w:val="36"/>
          <w:szCs w:val="36"/>
          <w:lang w:val="en-US" w:eastAsia="zh-CN"/>
        </w:rPr>
        <w:t>温州市中医院关于便携式肺功能检测仪项目的招标</w:t>
      </w:r>
    </w:p>
    <w:p>
      <w:pPr>
        <w:numPr>
          <w:ilvl w:val="0"/>
          <w:numId w:val="1"/>
        </w:numPr>
        <w:jc w:val="both"/>
        <w:rPr>
          <w:rStyle w:val="13"/>
          <w:rFonts w:hint="eastAsia" w:asciiTheme="minorEastAsia" w:hAnsiTheme="minorEastAsia" w:eastAsiaTheme="minorEastAsia" w:cstheme="minorEastAsia"/>
          <w:b/>
          <w:bCs/>
          <w:sz w:val="32"/>
          <w:szCs w:val="32"/>
        </w:rPr>
      </w:pPr>
      <w:r>
        <w:rPr>
          <w:rStyle w:val="13"/>
          <w:rFonts w:hint="eastAsia" w:asciiTheme="minorEastAsia" w:hAnsiTheme="minorEastAsia" w:eastAsiaTheme="minorEastAsia" w:cstheme="minorEastAsia"/>
          <w:b/>
          <w:bCs/>
          <w:sz w:val="32"/>
          <w:szCs w:val="32"/>
        </w:rPr>
        <w:t>项目基本情况</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05"/>
        <w:gridCol w:w="51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05" w:type="dxa"/>
          </w:tcPr>
          <w:p>
            <w:pPr>
              <w:jc w:val="left"/>
              <w:rPr>
                <w:rFonts w:hint="default"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项目编号：2022-sb-cg-009</w:t>
            </w:r>
          </w:p>
        </w:tc>
        <w:tc>
          <w:tcPr>
            <w:tcW w:w="5183" w:type="dxa"/>
          </w:tcPr>
          <w:p>
            <w:pPr>
              <w:jc w:val="left"/>
              <w:rPr>
                <w:rFonts w:hint="eastAsia"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项目名称：便携式肺功能检测仪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05" w:type="dxa"/>
          </w:tcPr>
          <w:p>
            <w:pPr>
              <w:jc w:val="left"/>
              <w:rPr>
                <w:rFonts w:hint="default"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数量：1台</w:t>
            </w:r>
          </w:p>
        </w:tc>
        <w:tc>
          <w:tcPr>
            <w:tcW w:w="5183" w:type="dxa"/>
          </w:tcPr>
          <w:p>
            <w:pPr>
              <w:jc w:val="left"/>
              <w:rPr>
                <w:rFonts w:hint="eastAsia"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预算总金额（元）:4.5万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88" w:type="dxa"/>
            <w:gridSpan w:val="2"/>
          </w:tcPr>
          <w:p>
            <w:pPr>
              <w:jc w:val="left"/>
              <w:rPr>
                <w:rFonts w:hint="eastAsia"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简要规格描述或项目基本概况介绍、用途：用于院区进行床边肺通气功能检测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88" w:type="dxa"/>
            <w:gridSpan w:val="2"/>
          </w:tcPr>
          <w:p>
            <w:pPr>
              <w:jc w:val="left"/>
              <w:rPr>
                <w:rFonts w:hint="eastAsia"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备注：国产</w:t>
            </w:r>
          </w:p>
        </w:tc>
      </w:tr>
    </w:tbl>
    <w:p>
      <w:pPr>
        <w:jc w:val="both"/>
        <w:rPr>
          <w:rFonts w:hint="eastAsia" w:asciiTheme="minorEastAsia" w:hAnsiTheme="minorEastAsia" w:eastAsiaTheme="minorEastAsia" w:cstheme="minorEastAsia"/>
          <w:b w:val="0"/>
          <w:bCs w:val="0"/>
          <w:sz w:val="24"/>
          <w:szCs w:val="24"/>
        </w:rPr>
      </w:pPr>
    </w:p>
    <w:p>
      <w:pPr>
        <w:numPr>
          <w:ilvl w:val="0"/>
          <w:numId w:val="1"/>
        </w:numPr>
        <w:jc w:val="both"/>
        <w:rPr>
          <w:rStyle w:val="13"/>
          <w:rFonts w:hint="eastAsia" w:asciiTheme="minorEastAsia" w:hAnsiTheme="minorEastAsia" w:eastAsiaTheme="minorEastAsia" w:cstheme="minorEastAsia"/>
          <w:b/>
          <w:bCs/>
          <w:sz w:val="32"/>
          <w:szCs w:val="32"/>
          <w:lang w:val="en-US" w:eastAsia="zh-CN"/>
        </w:rPr>
      </w:pPr>
      <w:r>
        <w:rPr>
          <w:rStyle w:val="13"/>
          <w:rFonts w:hint="eastAsia" w:asciiTheme="minorEastAsia" w:hAnsiTheme="minorEastAsia" w:eastAsiaTheme="minorEastAsia" w:cstheme="minorEastAsia"/>
          <w:b/>
          <w:bCs/>
          <w:sz w:val="32"/>
          <w:szCs w:val="32"/>
          <w:lang w:val="en-US" w:eastAsia="zh-CN"/>
        </w:rPr>
        <w:t>采购方式和定标原则</w:t>
      </w:r>
    </w:p>
    <w:p>
      <w:pPr>
        <w:numPr>
          <w:ilvl w:val="0"/>
          <w:numId w:val="0"/>
        </w:numPr>
        <w:jc w:val="both"/>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本项目我院采取院内组织公开招标的方式，以综合评分最高者中标的原则确定中标供应商。</w:t>
      </w:r>
    </w:p>
    <w:p>
      <w:pPr>
        <w:pStyle w:val="8"/>
        <w:keepNext w:val="0"/>
        <w:keepLines w:val="0"/>
        <w:widowControl/>
        <w:numPr>
          <w:ilvl w:val="0"/>
          <w:numId w:val="1"/>
        </w:numPr>
        <w:suppressLineNumbers w:val="0"/>
        <w:spacing w:before="255" w:beforeAutospacing="0" w:after="255" w:afterAutospacing="0" w:line="300" w:lineRule="atLeast"/>
        <w:ind w:left="0" w:leftChars="0" w:right="0" w:firstLine="0" w:firstLineChars="0"/>
        <w:jc w:val="both"/>
        <w:rPr>
          <w:rStyle w:val="13"/>
          <w:rFonts w:hint="eastAsia" w:asciiTheme="minorEastAsia" w:hAnsiTheme="minorEastAsia" w:eastAsiaTheme="minorEastAsia" w:cstheme="minorEastAsia"/>
          <w:b/>
          <w:bCs/>
          <w:kern w:val="2"/>
          <w:sz w:val="32"/>
          <w:szCs w:val="32"/>
          <w:lang w:val="en-US" w:eastAsia="zh-CN" w:bidi="ar-SA"/>
        </w:rPr>
      </w:pPr>
      <w:r>
        <w:rPr>
          <w:rStyle w:val="13"/>
          <w:rFonts w:hint="eastAsia" w:asciiTheme="minorEastAsia" w:hAnsiTheme="minorEastAsia" w:eastAsiaTheme="minorEastAsia" w:cstheme="minorEastAsia"/>
          <w:b/>
          <w:bCs/>
          <w:kern w:val="2"/>
          <w:sz w:val="32"/>
          <w:szCs w:val="32"/>
          <w:lang w:val="en-US" w:eastAsia="zh-CN" w:bidi="ar-SA"/>
        </w:rPr>
        <w:t>获取招标文件</w:t>
      </w:r>
    </w:p>
    <w:p>
      <w:pPr>
        <w:pStyle w:val="8"/>
        <w:keepNext w:val="0"/>
        <w:keepLines w:val="0"/>
        <w:widowControl/>
        <w:suppressLineNumbers w:val="0"/>
        <w:spacing w:line="300" w:lineRule="atLeast"/>
        <w:rPr>
          <w:rFonts w:hint="eastAsia" w:asciiTheme="minorEastAsia" w:hAnsiTheme="minorEastAsia" w:eastAsiaTheme="minorEastAsia" w:cstheme="minorEastAsia"/>
          <w:kern w:val="2"/>
          <w:sz w:val="24"/>
          <w:szCs w:val="24"/>
          <w:highlight w:val="yellow"/>
          <w:lang w:val="en-US" w:eastAsia="zh-CN" w:bidi="ar-SA"/>
        </w:rPr>
      </w:pPr>
      <w:r>
        <w:rPr>
          <w:rFonts w:hint="eastAsia" w:asciiTheme="minorEastAsia" w:hAnsiTheme="minorEastAsia" w:eastAsiaTheme="minorEastAsia" w:cstheme="minorEastAsia"/>
          <w:kern w:val="2"/>
          <w:sz w:val="24"/>
          <w:szCs w:val="24"/>
          <w:lang w:val="en-US" w:eastAsia="zh-CN" w:bidi="ar-SA"/>
        </w:rPr>
        <w:t>地点（网址）</w:t>
      </w:r>
      <w:r>
        <w:rPr>
          <w:rFonts w:hint="eastAsia" w:asciiTheme="minorEastAsia" w:hAnsiTheme="minorEastAsia" w:eastAsiaTheme="minorEastAsia" w:cstheme="minorEastAsia"/>
          <w:kern w:val="2"/>
          <w:sz w:val="24"/>
          <w:szCs w:val="24"/>
          <w:highlight w:val="none"/>
          <w:lang w:val="en-US" w:eastAsia="zh-CN" w:bidi="ar-SA"/>
        </w:rPr>
        <w:t>：</w:t>
      </w:r>
      <w:r>
        <w:rPr>
          <w:rFonts w:hint="eastAsia" w:asciiTheme="minorEastAsia" w:hAnsiTheme="minorEastAsia" w:eastAsiaTheme="minorEastAsia" w:cstheme="minorEastAsia"/>
          <w:kern w:val="2"/>
          <w:szCs w:val="24"/>
          <w:highlight w:val="none"/>
          <w:lang w:eastAsia="zh-CN"/>
        </w:rPr>
        <w:t>h</w:t>
      </w:r>
      <w:r>
        <w:rPr>
          <w:rFonts w:hint="eastAsia" w:asciiTheme="minorEastAsia" w:hAnsiTheme="minorEastAsia" w:eastAsiaTheme="minorEastAsia" w:cstheme="minorEastAsia"/>
          <w:kern w:val="2"/>
          <w:szCs w:val="24"/>
          <w:lang w:eastAsia="zh-CN"/>
        </w:rPr>
        <w:t>ttp://www.wzszyy.com/</w:t>
      </w:r>
    </w:p>
    <w:p>
      <w:pPr>
        <w:pStyle w:val="8"/>
        <w:keepNext w:val="0"/>
        <w:keepLines w:val="0"/>
        <w:widowControl/>
        <w:numPr>
          <w:ilvl w:val="0"/>
          <w:numId w:val="1"/>
        </w:numPr>
        <w:suppressLineNumbers w:val="0"/>
        <w:spacing w:before="255" w:beforeAutospacing="0" w:after="255" w:afterAutospacing="0" w:line="300" w:lineRule="atLeast"/>
        <w:ind w:left="0" w:leftChars="0" w:right="0" w:firstLine="0" w:firstLineChars="0"/>
        <w:jc w:val="both"/>
        <w:rPr>
          <w:rStyle w:val="13"/>
          <w:rFonts w:hint="eastAsia" w:asciiTheme="minorEastAsia" w:hAnsiTheme="minorEastAsia" w:eastAsiaTheme="minorEastAsia" w:cstheme="minorEastAsia"/>
          <w:b/>
          <w:bCs/>
          <w:kern w:val="2"/>
          <w:sz w:val="32"/>
          <w:szCs w:val="32"/>
          <w:lang w:val="en-US" w:eastAsia="zh-CN" w:bidi="ar-SA"/>
        </w:rPr>
      </w:pPr>
      <w:r>
        <w:rPr>
          <w:rStyle w:val="13"/>
          <w:rFonts w:hint="eastAsia" w:asciiTheme="minorEastAsia" w:hAnsiTheme="minorEastAsia" w:eastAsiaTheme="minorEastAsia" w:cstheme="minorEastAsia"/>
          <w:b/>
          <w:bCs/>
          <w:kern w:val="2"/>
          <w:sz w:val="32"/>
          <w:szCs w:val="32"/>
          <w:lang w:val="en-US" w:eastAsia="zh-CN" w:bidi="ar-SA"/>
        </w:rPr>
        <w:t>提交投标文件截止时间、开标时间和地点</w:t>
      </w:r>
    </w:p>
    <w:p>
      <w:pP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cstheme="minorEastAsia"/>
          <w:kern w:val="2"/>
          <w:sz w:val="24"/>
          <w:szCs w:val="24"/>
          <w:lang w:val="en-US" w:eastAsia="zh-CN" w:bidi="ar-SA"/>
        </w:rPr>
        <w:t>1、</w:t>
      </w:r>
      <w:r>
        <w:rPr>
          <w:rFonts w:hint="eastAsia" w:asciiTheme="minorEastAsia" w:hAnsiTheme="minorEastAsia" w:eastAsiaTheme="minorEastAsia" w:cstheme="minorEastAsia"/>
          <w:kern w:val="2"/>
          <w:sz w:val="24"/>
          <w:szCs w:val="24"/>
          <w:lang w:val="en-US" w:eastAsia="zh-CN" w:bidi="ar-SA"/>
        </w:rPr>
        <w:t>提交投标文件截止时间：2022年5月</w:t>
      </w:r>
      <w:r>
        <w:rPr>
          <w:rFonts w:hint="eastAsia" w:asciiTheme="minorEastAsia" w:hAnsiTheme="minorEastAsia" w:cstheme="minorEastAsia"/>
          <w:kern w:val="2"/>
          <w:sz w:val="24"/>
          <w:szCs w:val="24"/>
          <w:lang w:val="en-US" w:eastAsia="zh-CN" w:bidi="ar-SA"/>
        </w:rPr>
        <w:t>12</w:t>
      </w:r>
      <w:r>
        <w:rPr>
          <w:rFonts w:hint="eastAsia" w:asciiTheme="minorEastAsia" w:hAnsiTheme="minorEastAsia" w:eastAsiaTheme="minorEastAsia" w:cstheme="minorEastAsia"/>
          <w:kern w:val="2"/>
          <w:sz w:val="24"/>
          <w:szCs w:val="24"/>
          <w:lang w:val="en-US" w:eastAsia="zh-CN" w:bidi="ar-SA"/>
        </w:rPr>
        <w:t>日下午14：00（北京时间）</w:t>
      </w:r>
      <w:r>
        <w:rPr>
          <w:rFonts w:hint="eastAsia" w:asciiTheme="minorEastAsia" w:hAnsiTheme="minorEastAsia" w:eastAsiaTheme="minorEastAsia" w:cstheme="minorEastAsia"/>
          <w:kern w:val="2"/>
          <w:sz w:val="24"/>
          <w:szCs w:val="24"/>
          <w:lang w:val="en-US" w:eastAsia="zh-CN" w:bidi="ar-SA"/>
        </w:rPr>
        <w:br w:type="textWrapping"/>
      </w:r>
      <w:r>
        <w:rPr>
          <w:rFonts w:hint="eastAsia" w:asciiTheme="minorEastAsia" w:hAnsiTheme="minorEastAsia" w:cstheme="minorEastAsia"/>
          <w:kern w:val="2"/>
          <w:sz w:val="24"/>
          <w:szCs w:val="24"/>
          <w:lang w:val="en-US" w:eastAsia="zh-CN" w:bidi="ar-SA"/>
        </w:rPr>
        <w:t>2、</w:t>
      </w:r>
      <w:r>
        <w:rPr>
          <w:rFonts w:hint="eastAsia" w:asciiTheme="minorEastAsia" w:hAnsiTheme="minorEastAsia" w:eastAsiaTheme="minorEastAsia" w:cstheme="minorEastAsia"/>
          <w:kern w:val="2"/>
          <w:sz w:val="24"/>
          <w:szCs w:val="24"/>
          <w:lang w:val="en-US" w:eastAsia="zh-CN" w:bidi="ar-SA"/>
        </w:rPr>
        <w:t>开标时间：2022年5月</w:t>
      </w:r>
      <w:r>
        <w:rPr>
          <w:rFonts w:hint="eastAsia" w:asciiTheme="minorEastAsia" w:hAnsiTheme="minorEastAsia" w:cstheme="minorEastAsia"/>
          <w:kern w:val="2"/>
          <w:sz w:val="24"/>
          <w:szCs w:val="24"/>
          <w:lang w:val="en-US" w:eastAsia="zh-CN" w:bidi="ar-SA"/>
        </w:rPr>
        <w:t>12</w:t>
      </w:r>
      <w:r>
        <w:rPr>
          <w:rFonts w:hint="eastAsia" w:asciiTheme="minorEastAsia" w:hAnsiTheme="minorEastAsia" w:eastAsiaTheme="minorEastAsia" w:cstheme="minorEastAsia"/>
          <w:kern w:val="2"/>
          <w:sz w:val="24"/>
          <w:szCs w:val="24"/>
          <w:lang w:val="en-US" w:eastAsia="zh-CN" w:bidi="ar-SA"/>
        </w:rPr>
        <w:t>日下午14：10（</w:t>
      </w:r>
      <w:bookmarkStart w:id="0" w:name="_GoBack"/>
      <w:bookmarkEnd w:id="0"/>
      <w:r>
        <w:rPr>
          <w:rFonts w:hint="eastAsia" w:asciiTheme="minorEastAsia" w:hAnsiTheme="minorEastAsia" w:eastAsiaTheme="minorEastAsia" w:cstheme="minorEastAsia"/>
          <w:kern w:val="2"/>
          <w:sz w:val="24"/>
          <w:szCs w:val="24"/>
          <w:lang w:val="en-US" w:eastAsia="zh-CN" w:bidi="ar-SA"/>
        </w:rPr>
        <w:t>北京时间）</w:t>
      </w:r>
    </w:p>
    <w:p>
      <w:pP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cstheme="minorEastAsia"/>
          <w:kern w:val="2"/>
          <w:sz w:val="24"/>
          <w:szCs w:val="24"/>
          <w:lang w:val="en-US" w:eastAsia="zh-CN" w:bidi="ar-SA"/>
        </w:rPr>
        <w:t>3、</w:t>
      </w:r>
      <w:r>
        <w:rPr>
          <w:rFonts w:hint="eastAsia" w:asciiTheme="minorEastAsia" w:hAnsiTheme="minorEastAsia" w:eastAsiaTheme="minorEastAsia" w:cstheme="minorEastAsia"/>
          <w:kern w:val="2"/>
          <w:sz w:val="24"/>
          <w:szCs w:val="24"/>
          <w:lang w:val="en-US" w:eastAsia="zh-CN" w:bidi="ar-SA"/>
        </w:rPr>
        <w:t xml:space="preserve">开标地点：温州市中医院行政楼3楼309会议室 </w:t>
      </w:r>
    </w:p>
    <w:p>
      <w:pP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cstheme="minorEastAsia"/>
          <w:kern w:val="2"/>
          <w:sz w:val="24"/>
          <w:szCs w:val="24"/>
          <w:lang w:val="en-US" w:eastAsia="zh-CN" w:bidi="ar-SA"/>
        </w:rPr>
        <w:t>4、</w:t>
      </w:r>
      <w:r>
        <w:rPr>
          <w:rFonts w:hint="eastAsia" w:asciiTheme="minorEastAsia" w:hAnsiTheme="minorEastAsia" w:eastAsiaTheme="minorEastAsia" w:cstheme="minorEastAsia"/>
          <w:kern w:val="2"/>
          <w:sz w:val="24"/>
          <w:szCs w:val="24"/>
          <w:lang w:val="en-US" w:eastAsia="zh-CN" w:bidi="ar-SA"/>
        </w:rPr>
        <w:t>包装要求:投标文件的技术资信标、商务（报价）标分别密封于包封袋中，并在封套的封口处加盖投标人单位章，并由法定代表人或其授权代表签字。</w:t>
      </w:r>
    </w:p>
    <w:p>
      <w:pPr>
        <w:rPr>
          <w:rFonts w:hint="eastAsia" w:asciiTheme="minorEastAsia" w:hAnsiTheme="minorEastAsia" w:cstheme="minorEastAsia"/>
          <w:kern w:val="2"/>
          <w:sz w:val="24"/>
          <w:szCs w:val="24"/>
          <w:lang w:val="en-US" w:eastAsia="zh-CN" w:bidi="ar-SA"/>
        </w:rPr>
      </w:pPr>
      <w:r>
        <w:rPr>
          <w:rFonts w:hint="eastAsia" w:asciiTheme="minorEastAsia" w:hAnsiTheme="minorEastAsia" w:cstheme="minorEastAsia"/>
          <w:kern w:val="2"/>
          <w:sz w:val="24"/>
          <w:szCs w:val="24"/>
          <w:lang w:val="en-US" w:eastAsia="zh-CN" w:bidi="ar-SA"/>
        </w:rPr>
        <w:t>5、</w:t>
      </w:r>
      <w:r>
        <w:rPr>
          <w:rFonts w:hint="eastAsia" w:asciiTheme="minorEastAsia" w:hAnsiTheme="minorEastAsia" w:eastAsiaTheme="minorEastAsia" w:cstheme="minorEastAsia"/>
          <w:kern w:val="2"/>
          <w:sz w:val="24"/>
          <w:szCs w:val="24"/>
          <w:lang w:val="en-US" w:eastAsia="zh-CN" w:bidi="ar-SA"/>
        </w:rPr>
        <w:t>投标方式：接受邮寄和现场投递的纸质投标文件</w:t>
      </w:r>
      <w:r>
        <w:rPr>
          <w:rFonts w:hint="eastAsia" w:asciiTheme="minorEastAsia" w:hAnsiTheme="minorEastAsia" w:cstheme="minorEastAsia"/>
          <w:kern w:val="2"/>
          <w:sz w:val="24"/>
          <w:szCs w:val="24"/>
          <w:lang w:val="en-US" w:eastAsia="zh-CN" w:bidi="ar-SA"/>
        </w:rPr>
        <w:t>/</w:t>
      </w:r>
    </w:p>
    <w:p>
      <w:pP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cstheme="minorEastAsia"/>
          <w:kern w:val="2"/>
          <w:sz w:val="24"/>
          <w:szCs w:val="24"/>
          <w:lang w:val="en-US" w:eastAsia="zh-CN" w:bidi="ar-SA"/>
        </w:rPr>
        <w:t>6、</w:t>
      </w:r>
      <w:r>
        <w:rPr>
          <w:rFonts w:hint="eastAsia" w:asciiTheme="minorEastAsia" w:hAnsiTheme="minorEastAsia" w:eastAsiaTheme="minorEastAsia" w:cstheme="minorEastAsia"/>
          <w:kern w:val="2"/>
          <w:sz w:val="24"/>
          <w:szCs w:val="24"/>
          <w:lang w:val="en-US" w:eastAsia="zh-CN" w:bidi="ar-SA"/>
        </w:rPr>
        <w:t>其他:招标文件一式三份，一正两副加盖公章</w:t>
      </w:r>
    </w:p>
    <w:p>
      <w:pPr>
        <w:pStyle w:val="8"/>
        <w:keepNext w:val="0"/>
        <w:keepLines w:val="0"/>
        <w:widowControl/>
        <w:numPr>
          <w:ilvl w:val="0"/>
          <w:numId w:val="1"/>
        </w:numPr>
        <w:suppressLineNumbers w:val="0"/>
        <w:spacing w:before="255" w:beforeAutospacing="0" w:after="255" w:afterAutospacing="0" w:line="300" w:lineRule="atLeast"/>
        <w:ind w:left="0" w:leftChars="0" w:right="0" w:firstLine="0" w:firstLineChars="0"/>
        <w:jc w:val="both"/>
        <w:rPr>
          <w:rStyle w:val="13"/>
          <w:rFonts w:hint="eastAsia" w:asciiTheme="minorEastAsia" w:hAnsiTheme="minorEastAsia" w:eastAsiaTheme="minorEastAsia" w:cstheme="minorEastAsia"/>
          <w:b/>
          <w:bCs/>
          <w:kern w:val="2"/>
          <w:sz w:val="32"/>
          <w:szCs w:val="32"/>
          <w:lang w:val="en-US" w:eastAsia="zh-CN" w:bidi="ar-SA"/>
        </w:rPr>
      </w:pPr>
      <w:r>
        <w:rPr>
          <w:rStyle w:val="13"/>
          <w:rFonts w:hint="eastAsia" w:asciiTheme="minorEastAsia" w:hAnsiTheme="minorEastAsia" w:eastAsiaTheme="minorEastAsia" w:cstheme="minorEastAsia"/>
          <w:b/>
          <w:bCs/>
          <w:kern w:val="2"/>
          <w:sz w:val="32"/>
          <w:szCs w:val="32"/>
          <w:lang w:val="en-US" w:eastAsia="zh-CN" w:bidi="ar-SA"/>
        </w:rPr>
        <w:t>公告期限 </w:t>
      </w:r>
    </w:p>
    <w:p>
      <w:pPr>
        <w:pStyle w:val="8"/>
        <w:keepNext w:val="0"/>
        <w:keepLines w:val="0"/>
        <w:widowControl/>
        <w:suppressLineNumbers w:val="0"/>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自本公告发布之日起5个工作日。</w:t>
      </w:r>
    </w:p>
    <w:p>
      <w:pPr>
        <w:numPr>
          <w:ilvl w:val="0"/>
          <w:numId w:val="1"/>
        </w:numPr>
        <w:ind w:left="0" w:leftChars="0" w:firstLine="0" w:firstLineChars="0"/>
        <w:jc w:val="both"/>
        <w:rPr>
          <w:rFonts w:hint="eastAsia" w:asciiTheme="minorEastAsia" w:hAnsiTheme="minorEastAsia" w:eastAsiaTheme="minorEastAsia" w:cstheme="minorEastAsia"/>
          <w:b/>
          <w:bCs/>
          <w:sz w:val="28"/>
          <w:szCs w:val="28"/>
        </w:rPr>
      </w:pPr>
      <w:r>
        <w:rPr>
          <w:rStyle w:val="13"/>
          <w:rFonts w:hint="eastAsia" w:asciiTheme="minorEastAsia" w:hAnsiTheme="minorEastAsia" w:eastAsiaTheme="minorEastAsia" w:cstheme="minorEastAsia"/>
          <w:b/>
          <w:bCs/>
          <w:kern w:val="2"/>
          <w:sz w:val="32"/>
          <w:szCs w:val="32"/>
          <w:lang w:val="en-US" w:eastAsia="zh-CN" w:bidi="ar-SA"/>
        </w:rPr>
        <w:t>投标文件编制要求</w:t>
      </w:r>
    </w:p>
    <w:p>
      <w:pPr>
        <w:snapToGrid w:val="0"/>
        <w:spacing w:line="360" w:lineRule="auto"/>
        <w:ind w:firstLine="417" w:firstLineChars="174"/>
        <w:jc w:val="left"/>
        <w:outlineLvl w:val="2"/>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rPr>
        <w:t>（一）投标文件的组成</w:t>
      </w:r>
    </w:p>
    <w:p>
      <w:pPr>
        <w:snapToGrid w:val="0"/>
        <w:spacing w:line="360" w:lineRule="auto"/>
        <w:ind w:firstLine="480" w:firstLineChars="200"/>
        <w:jc w:val="left"/>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rPr>
        <w:t>投标文件由资格证明文件、商务技术文件和报价文件三部份组成</w:t>
      </w:r>
      <w:r>
        <w:rPr>
          <w:rFonts w:hint="eastAsia" w:asciiTheme="minorEastAsia" w:hAnsiTheme="minorEastAsia" w:eastAsiaTheme="minorEastAsia" w:cstheme="minorEastAsia"/>
          <w:b w:val="0"/>
          <w:bCs/>
          <w:sz w:val="24"/>
          <w:szCs w:val="24"/>
          <w:lang w:eastAsia="zh-CN"/>
        </w:rPr>
        <w:t>。</w:t>
      </w:r>
    </w:p>
    <w:p>
      <w:pPr>
        <w:snapToGrid w:val="0"/>
        <w:spacing w:before="120" w:beforeLines="50" w:line="360" w:lineRule="auto"/>
        <w:ind w:firstLine="470" w:firstLineChars="196"/>
        <w:jc w:val="left"/>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rPr>
        <w:t>1.资格证明文件：</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Cs/>
          <w:sz w:val="24"/>
          <w:szCs w:val="24"/>
        </w:rPr>
        <w:t>▲</w:t>
      </w:r>
      <w:r>
        <w:rPr>
          <w:rFonts w:hint="eastAsia" w:asciiTheme="minorEastAsia" w:hAnsiTheme="minorEastAsia" w:eastAsiaTheme="minorEastAsia" w:cstheme="minorEastAsia"/>
          <w:sz w:val="24"/>
          <w:szCs w:val="24"/>
        </w:rPr>
        <w:t>（1）投标人资格承诺函；</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Cs/>
          <w:sz w:val="24"/>
          <w:szCs w:val="24"/>
        </w:rPr>
        <w:t>▲</w:t>
      </w:r>
      <w:r>
        <w:rPr>
          <w:rFonts w:hint="eastAsia" w:asciiTheme="minorEastAsia" w:hAnsiTheme="minorEastAsia" w:eastAsiaTheme="minorEastAsia" w:cstheme="minorEastAsia"/>
          <w:sz w:val="24"/>
          <w:szCs w:val="24"/>
        </w:rPr>
        <w:t>（2）法人或者其他组织投标的提供营业执照等证明文件，自然人投标的提供身份证明；</w:t>
      </w:r>
    </w:p>
    <w:p>
      <w:pPr>
        <w:snapToGrid w:val="0"/>
        <w:spacing w:before="120" w:beforeLines="50" w:line="360" w:lineRule="auto"/>
        <w:ind w:firstLine="470" w:firstLineChars="196"/>
        <w:jc w:val="left"/>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rPr>
        <w:t>2. 商务技术文件：</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Cs/>
          <w:sz w:val="24"/>
          <w:szCs w:val="24"/>
        </w:rPr>
        <w:t>▲</w:t>
      </w:r>
      <w:r>
        <w:rPr>
          <w:rFonts w:hint="eastAsia" w:asciiTheme="minorEastAsia" w:hAnsiTheme="minorEastAsia" w:eastAsiaTheme="minorEastAsia" w:cstheme="minorEastAsia"/>
          <w:sz w:val="24"/>
          <w:szCs w:val="24"/>
        </w:rPr>
        <w:t>（1）投标人营业执照；</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Cs/>
          <w:sz w:val="24"/>
          <w:szCs w:val="24"/>
        </w:rPr>
        <w:t>▲</w:t>
      </w:r>
      <w:r>
        <w:rPr>
          <w:rFonts w:hint="eastAsia" w:asciiTheme="minorEastAsia" w:hAnsiTheme="minorEastAsia" w:eastAsiaTheme="minorEastAsia" w:cstheme="minorEastAsia"/>
          <w:sz w:val="24"/>
          <w:szCs w:val="24"/>
        </w:rPr>
        <w:t>（2）投标人为医疗器械生产企业的：第二类、第三类医疗器械生产企业提供《医疗器械生产许可证》、第一类医疗器械生产企业提供第一类医疗器械生产备案凭证；</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投标人为医疗器械经营企业的：第三类医疗器械经营企业提供《医疗器械经营许可证》、第二类医疗器械经营企业提供第二类医疗器械经营备案凭证；</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且投标人经备案或许可的经营范围必须包含本次投标的所有医疗器械；</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Cs/>
          <w:sz w:val="24"/>
          <w:szCs w:val="24"/>
        </w:rPr>
        <w:t>▲</w:t>
      </w:r>
      <w:r>
        <w:rPr>
          <w:rFonts w:hint="eastAsia" w:asciiTheme="minorEastAsia" w:hAnsiTheme="minorEastAsia" w:eastAsiaTheme="minorEastAsia" w:cstheme="minorEastAsia"/>
          <w:sz w:val="24"/>
          <w:szCs w:val="24"/>
        </w:rPr>
        <w:t>（3）提供食品药品监督管理部门核发的完整有效的医疗器械注册或备案证明；</w:t>
      </w:r>
    </w:p>
    <w:p>
      <w:pPr>
        <w:snapToGrid w:val="0"/>
        <w:spacing w:line="360" w:lineRule="auto"/>
        <w:ind w:firstLine="470" w:firstLineChars="196"/>
        <w:jc w:val="left"/>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▲（4）货物制造商或其它有销售资格（提供证明材料）的供应商出具的授权书（适用于投标人是进口货物代理商的情形）；</w:t>
      </w:r>
    </w:p>
    <w:p>
      <w:pPr>
        <w:snapToGrid w:val="0"/>
        <w:spacing w:line="360" w:lineRule="auto"/>
        <w:ind w:firstLine="470" w:firstLineChars="196"/>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bCs/>
          <w:sz w:val="24"/>
          <w:szCs w:val="24"/>
        </w:rPr>
        <w:t>▲</w:t>
      </w:r>
      <w:r>
        <w:rPr>
          <w:rFonts w:hint="eastAsia" w:asciiTheme="minorEastAsia" w:hAnsiTheme="minorEastAsia" w:eastAsiaTheme="minorEastAsia" w:cstheme="minorEastAsia"/>
          <w:kern w:val="0"/>
          <w:sz w:val="24"/>
          <w:szCs w:val="24"/>
        </w:rPr>
        <w:t>（5）投标声明函</w:t>
      </w:r>
      <w:r>
        <w:rPr>
          <w:rFonts w:hint="eastAsia" w:asciiTheme="minorEastAsia" w:hAnsiTheme="minorEastAsia" w:eastAsiaTheme="minorEastAsia" w:cstheme="minorEastAsia"/>
          <w:sz w:val="24"/>
          <w:szCs w:val="24"/>
        </w:rPr>
        <w:t>；</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（6）投标产品一览表</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（7）技术响应表；</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（8）合同条款响应承诺</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（9）设备配置清单；</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（10）消耗品或易耗品价格； </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（11）售后服务承诺书</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（12）业绩证明</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（13）投标人建议的安装、调试、验收方法或方案；</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（14）技术服务、技术培训的内容和措施；</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（15）项目实施人员一览表</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（16）维修能力（详见评分标准要求）；</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（17）投标机型的彩页和原厂技术参数；</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18</w:t>
      </w:r>
      <w:r>
        <w:rPr>
          <w:rFonts w:hint="eastAsia" w:asciiTheme="minorEastAsia" w:hAnsiTheme="minorEastAsia" w:eastAsiaTheme="minorEastAsia" w:cstheme="minorEastAsia"/>
          <w:sz w:val="24"/>
          <w:szCs w:val="24"/>
        </w:rPr>
        <w:t>）节能产品的相关证明材料：投标产品列入财政部、发展改革委发布的节能产品品目清单的，提供国家市场监督管理总局公布的《参与实施政府采购节能产品认证机构名录》内的认证机构出具的、处于有效期之内的节能标志产品认证证书；</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19</w:t>
      </w:r>
      <w:r>
        <w:rPr>
          <w:rFonts w:hint="eastAsia" w:asciiTheme="minorEastAsia" w:hAnsiTheme="minorEastAsia" w:eastAsiaTheme="minorEastAsia" w:cstheme="minorEastAsia"/>
          <w:sz w:val="24"/>
          <w:szCs w:val="24"/>
        </w:rPr>
        <w:t>）环境标志产品的相关证明材料：投标产品列入财政部、生态环境部发布的环境标志产品品目清单的，提供国家市场监督管理总局公布的《参与实施政府采购环境标志产品认证机构名录》内的认证机构出具的、处于有效期之内的环境标志产品认证证书；</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lang w:val="en-US" w:eastAsia="zh-CN"/>
        </w:rPr>
        <w:t>0</w:t>
      </w:r>
      <w:r>
        <w:rPr>
          <w:rFonts w:hint="eastAsia" w:asciiTheme="minorEastAsia" w:hAnsiTheme="minorEastAsia" w:eastAsiaTheme="minorEastAsia" w:cstheme="minorEastAsia"/>
          <w:sz w:val="24"/>
          <w:szCs w:val="24"/>
        </w:rPr>
        <w:t>）评分方法中的评审证明文件等；</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lang w:val="en-US" w:eastAsia="zh-CN"/>
        </w:rPr>
        <w:t>1</w:t>
      </w:r>
      <w:r>
        <w:rPr>
          <w:rFonts w:hint="eastAsia" w:asciiTheme="minorEastAsia" w:hAnsiTheme="minorEastAsia" w:eastAsiaTheme="minorEastAsia" w:cstheme="minorEastAsia"/>
          <w:sz w:val="24"/>
          <w:szCs w:val="24"/>
        </w:rPr>
        <w:t>）投标人认为需要提供的其他文件。</w:t>
      </w:r>
    </w:p>
    <w:p>
      <w:pPr>
        <w:snapToGrid w:val="0"/>
        <w:spacing w:line="360" w:lineRule="auto"/>
        <w:ind w:firstLine="472" w:firstLineChars="196"/>
        <w:jc w:val="left"/>
        <w:rPr>
          <w:rFonts w:hint="eastAsia" w:asciiTheme="minorEastAsia" w:hAnsiTheme="minorEastAsia" w:eastAsiaTheme="minorEastAsia" w:cstheme="minorEastAsia"/>
          <w:b/>
          <w:sz w:val="24"/>
          <w:szCs w:val="24"/>
        </w:rPr>
      </w:pPr>
    </w:p>
    <w:p>
      <w:pPr>
        <w:snapToGrid w:val="0"/>
        <w:spacing w:line="360" w:lineRule="auto"/>
        <w:ind w:firstLine="470" w:firstLineChars="196"/>
        <w:jc w:val="left"/>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rPr>
        <w:t>3.报价文件：</w:t>
      </w:r>
    </w:p>
    <w:p>
      <w:pPr>
        <w:snapToGrid w:val="0"/>
        <w:spacing w:line="360" w:lineRule="auto"/>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（1）开标一览表；</w:t>
      </w:r>
    </w:p>
    <w:p>
      <w:pPr>
        <w:snapToGrid w:val="0"/>
        <w:spacing w:line="360" w:lineRule="auto"/>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（2）投标报价明细表；</w:t>
      </w:r>
    </w:p>
    <w:p>
      <w:pPr>
        <w:snapToGrid w:val="0"/>
        <w:spacing w:line="360" w:lineRule="auto"/>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（3）投标人针对报价需要说明的其他文件和说明（如有）；</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（4）中小企业的相关证明材料（如有</w:t>
      </w:r>
      <w:r>
        <w:rPr>
          <w:rFonts w:hint="eastAsia" w:asciiTheme="minorEastAsia" w:hAnsiTheme="minorEastAsia" w:eastAsiaTheme="minorEastAsia" w:cstheme="minorEastAsia"/>
          <w:kern w:val="0"/>
          <w:sz w:val="24"/>
          <w:szCs w:val="24"/>
        </w:rPr>
        <w:t>）；</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（5）残疾人福利性单位声明函(如有）；</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（6）由省级以上监狱管理局、戒毒管理局（含新疆生产建设兵团）出具的属于监狱企业的证明文件（如有）。</w:t>
      </w:r>
    </w:p>
    <w:p>
      <w:pPr>
        <w:pStyle w:val="8"/>
        <w:keepNext w:val="0"/>
        <w:keepLines w:val="0"/>
        <w:widowControl/>
        <w:numPr>
          <w:ilvl w:val="0"/>
          <w:numId w:val="1"/>
        </w:numPr>
        <w:suppressLineNumbers w:val="0"/>
        <w:spacing w:before="255" w:beforeAutospacing="0" w:after="255" w:afterAutospacing="0" w:line="300" w:lineRule="atLeast"/>
        <w:ind w:left="0" w:leftChars="0" w:right="0" w:firstLine="0" w:firstLineChars="0"/>
        <w:jc w:val="both"/>
        <w:rPr>
          <w:rStyle w:val="13"/>
          <w:rFonts w:hint="eastAsia" w:asciiTheme="minorEastAsia" w:hAnsiTheme="minorEastAsia" w:eastAsiaTheme="minorEastAsia" w:cstheme="minorEastAsia"/>
          <w:b/>
          <w:bCs/>
          <w:kern w:val="2"/>
          <w:sz w:val="32"/>
          <w:szCs w:val="32"/>
          <w:lang w:val="en-US" w:eastAsia="zh-CN" w:bidi="ar-SA"/>
        </w:rPr>
      </w:pPr>
      <w:r>
        <w:rPr>
          <w:rStyle w:val="13"/>
          <w:rFonts w:hint="eastAsia" w:asciiTheme="minorEastAsia" w:hAnsiTheme="minorEastAsia" w:eastAsiaTheme="minorEastAsia" w:cstheme="minorEastAsia"/>
          <w:b/>
          <w:bCs/>
          <w:kern w:val="2"/>
          <w:sz w:val="32"/>
          <w:szCs w:val="32"/>
          <w:lang w:val="en-US" w:eastAsia="zh-CN" w:bidi="ar-SA"/>
        </w:rPr>
        <w:t>商务、技术参数偏离表</w:t>
      </w:r>
    </w:p>
    <w:p>
      <w:pPr>
        <w:snapToGrid w:val="0"/>
        <w:spacing w:line="360" w:lineRule="auto"/>
        <w:jc w:val="left"/>
        <w:rPr>
          <w:rFonts w:hint="eastAsia" w:asciiTheme="minorEastAsia" w:hAnsiTheme="minorEastAsia" w:eastAsiaTheme="minorEastAsia" w:cstheme="minorEastAsia"/>
          <w:sz w:val="24"/>
          <w:szCs w:val="24"/>
        </w:rPr>
      </w:pPr>
    </w:p>
    <w:tbl>
      <w:tblPr>
        <w:tblStyle w:val="11"/>
        <w:tblpPr w:leftFromText="180" w:rightFromText="180" w:vertAnchor="page" w:horzAnchor="page" w:tblpX="1425" w:tblpY="6613"/>
        <w:tblOverlap w:val="never"/>
        <w:tblW w:w="512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8"/>
        <w:gridCol w:w="7260"/>
        <w:gridCol w:w="14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24" w:type="pct"/>
            <w:noWrap w:val="0"/>
            <w:vAlign w:val="top"/>
          </w:tcPr>
          <w:p>
            <w:pPr>
              <w:rPr>
                <w:rFonts w:hint="eastAsia" w:ascii="宋体" w:hAnsi="宋体" w:eastAsia="宋体" w:cs="宋体"/>
                <w:sz w:val="24"/>
                <w:szCs w:val="24"/>
              </w:rPr>
            </w:pPr>
            <w:r>
              <w:rPr>
                <w:rFonts w:hint="eastAsia" w:ascii="宋体" w:hAnsi="宋体" w:eastAsia="宋体" w:cs="宋体"/>
                <w:sz w:val="24"/>
                <w:szCs w:val="24"/>
              </w:rPr>
              <w:t>序号</w:t>
            </w:r>
          </w:p>
        </w:tc>
        <w:tc>
          <w:tcPr>
            <w:tcW w:w="3816" w:type="pct"/>
            <w:noWrap w:val="0"/>
            <w:vAlign w:val="top"/>
          </w:tcPr>
          <w:p>
            <w:pPr>
              <w:rPr>
                <w:rFonts w:hint="eastAsia" w:ascii="宋体" w:hAnsi="宋体" w:eastAsia="宋体" w:cs="宋体"/>
                <w:b/>
                <w:kern w:val="0"/>
                <w:sz w:val="24"/>
                <w:szCs w:val="24"/>
                <w:lang w:val="en-US" w:eastAsia="zh-CN"/>
              </w:rPr>
            </w:pPr>
            <w:r>
              <w:rPr>
                <w:rFonts w:hint="eastAsia" w:ascii="宋体" w:hAnsi="宋体" w:eastAsia="宋体" w:cs="宋体"/>
                <w:b/>
                <w:kern w:val="0"/>
                <w:sz w:val="24"/>
                <w:szCs w:val="24"/>
                <w:lang w:val="en-US" w:eastAsia="zh-CN"/>
              </w:rPr>
              <w:t xml:space="preserve">                 商务、技术参数要求</w:t>
            </w:r>
          </w:p>
        </w:tc>
        <w:tc>
          <w:tcPr>
            <w:tcW w:w="758" w:type="pct"/>
            <w:noWrap w:val="0"/>
            <w:vAlign w:val="top"/>
          </w:tcPr>
          <w:p>
            <w:pPr>
              <w:rPr>
                <w:rFonts w:hint="eastAsia" w:ascii="宋体" w:hAnsi="宋体" w:eastAsia="宋体" w:cs="宋体"/>
                <w:b/>
                <w:kern w:val="0"/>
                <w:sz w:val="24"/>
                <w:szCs w:val="24"/>
                <w:lang w:val="en-US" w:eastAsia="zh-CN"/>
              </w:rPr>
            </w:pPr>
            <w:r>
              <w:rPr>
                <w:rFonts w:hint="eastAsia" w:ascii="宋体" w:hAnsi="宋体" w:eastAsia="宋体" w:cs="宋体"/>
                <w:kern w:val="0"/>
                <w:sz w:val="24"/>
                <w:szCs w:val="24"/>
                <w:lang w:val="en-US" w:eastAsia="zh-CN"/>
              </w:rPr>
              <w:t>投标响应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24" w:type="pct"/>
            <w:noWrap w:val="0"/>
            <w:vAlign w:val="center"/>
          </w:tcPr>
          <w:p>
            <w:pPr>
              <w:keepNext w:val="0"/>
              <w:keepLines w:val="0"/>
              <w:widowControl/>
              <w:suppressLineNumbers w:val="0"/>
              <w:jc w:val="both"/>
              <w:textAlignment w:val="center"/>
              <w:rPr>
                <w:rFonts w:hint="eastAsia" w:ascii="宋体" w:hAnsi="宋体" w:eastAsia="宋体" w:cs="宋体"/>
                <w:b/>
                <w:bCs/>
                <w:sz w:val="24"/>
                <w:szCs w:val="24"/>
                <w:lang w:val="en-US" w:eastAsia="zh-CN"/>
              </w:rPr>
            </w:pPr>
            <w:r>
              <w:rPr>
                <w:rFonts w:hint="eastAsia" w:ascii="宋体" w:hAnsi="宋体" w:eastAsia="宋体" w:cs="宋体"/>
                <w:b/>
                <w:bCs/>
                <w:i w:val="0"/>
                <w:iCs w:val="0"/>
                <w:color w:val="000000"/>
                <w:kern w:val="0"/>
                <w:sz w:val="24"/>
                <w:szCs w:val="24"/>
                <w:u w:val="none"/>
                <w:lang w:val="en-US" w:eastAsia="zh-CN" w:bidi="ar"/>
              </w:rPr>
              <w:t>一</w:t>
            </w:r>
          </w:p>
        </w:tc>
        <w:tc>
          <w:tcPr>
            <w:tcW w:w="3816" w:type="pct"/>
            <w:noWrap w:val="0"/>
            <w:vAlign w:val="top"/>
          </w:tcPr>
          <w:p>
            <w:pPr>
              <w:keepNext w:val="0"/>
              <w:keepLines w:val="0"/>
              <w:widowControl/>
              <w:suppressLineNumbers w:val="0"/>
              <w:jc w:val="both"/>
              <w:textAlignment w:val="cente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总体要求</w:t>
            </w:r>
          </w:p>
        </w:tc>
        <w:tc>
          <w:tcPr>
            <w:tcW w:w="758" w:type="pct"/>
            <w:noWrap w:val="0"/>
            <w:vAlign w:val="top"/>
          </w:tcPr>
          <w:p>
            <w:pPr>
              <w:jc w:val="both"/>
              <w:rPr>
                <w:rFonts w:hint="eastAsia" w:ascii="宋体" w:hAnsi="宋体" w:eastAsia="宋体" w:cs="宋体"/>
                <w:b/>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24" w:type="pct"/>
            <w:noWrap w:val="0"/>
            <w:vAlign w:val="center"/>
          </w:tcPr>
          <w:p>
            <w:pPr>
              <w:keepNext w:val="0"/>
              <w:keepLines w:val="0"/>
              <w:widowControl/>
              <w:suppressLineNumbers w:val="0"/>
              <w:jc w:val="both"/>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1.1</w:t>
            </w:r>
          </w:p>
        </w:tc>
        <w:tc>
          <w:tcPr>
            <w:tcW w:w="3816" w:type="pct"/>
            <w:noWrap w:val="0"/>
            <w:vAlign w:val="top"/>
          </w:tcPr>
          <w:p>
            <w:pPr>
              <w:keepNext w:val="0"/>
              <w:keepLines w:val="0"/>
              <w:widowControl/>
              <w:suppressLineNumbers w:val="0"/>
              <w:jc w:val="both"/>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采购便携式肺功能检测仪1台</w:t>
            </w:r>
          </w:p>
        </w:tc>
        <w:tc>
          <w:tcPr>
            <w:tcW w:w="758" w:type="pct"/>
            <w:noWrap w:val="0"/>
            <w:vAlign w:val="top"/>
          </w:tcPr>
          <w:p>
            <w:pPr>
              <w:jc w:val="both"/>
              <w:rPr>
                <w:rFonts w:hint="eastAsia" w:ascii="宋体" w:hAnsi="宋体" w:eastAsia="宋体" w:cs="宋体"/>
                <w:kern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24" w:type="pct"/>
            <w:noWrap w:val="0"/>
            <w:vAlign w:val="top"/>
          </w:tcPr>
          <w:p>
            <w:pPr>
              <w:keepNext w:val="0"/>
              <w:keepLines w:val="0"/>
              <w:widowControl/>
              <w:suppressLineNumbers w:val="0"/>
              <w:jc w:val="both"/>
              <w:textAlignment w:val="top"/>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1.2</w:t>
            </w:r>
          </w:p>
        </w:tc>
        <w:tc>
          <w:tcPr>
            <w:tcW w:w="3816" w:type="pct"/>
            <w:noWrap w:val="0"/>
            <w:vAlign w:val="top"/>
          </w:tcPr>
          <w:p>
            <w:pPr>
              <w:keepNext w:val="0"/>
              <w:keepLines w:val="0"/>
              <w:widowControl/>
              <w:suppressLineNumbers w:val="0"/>
              <w:jc w:val="both"/>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设备用途：</w:t>
            </w:r>
            <w:r>
              <w:rPr>
                <w:rFonts w:hint="eastAsia" w:ascii="宋体" w:hAnsi="宋体" w:eastAsia="宋体" w:cs="宋体"/>
                <w:sz w:val="24"/>
                <w:szCs w:val="24"/>
              </w:rPr>
              <w:t>用于院区进行床边肺通气功能检测</w:t>
            </w:r>
          </w:p>
        </w:tc>
        <w:tc>
          <w:tcPr>
            <w:tcW w:w="758" w:type="pct"/>
            <w:noWrap w:val="0"/>
            <w:vAlign w:val="top"/>
          </w:tcPr>
          <w:p>
            <w:pPr>
              <w:jc w:val="center"/>
              <w:rPr>
                <w:rFonts w:hint="eastAsia" w:ascii="宋体" w:hAnsi="宋体" w:eastAsia="宋体" w:cs="宋体"/>
                <w:kern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24" w:type="pct"/>
            <w:noWrap w:val="0"/>
            <w:vAlign w:val="center"/>
          </w:tcPr>
          <w:p>
            <w:pPr>
              <w:keepNext w:val="0"/>
              <w:keepLines w:val="0"/>
              <w:widowControl/>
              <w:suppressLineNumbers w:val="0"/>
              <w:jc w:val="both"/>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二</w:t>
            </w:r>
          </w:p>
        </w:tc>
        <w:tc>
          <w:tcPr>
            <w:tcW w:w="3816" w:type="pct"/>
            <w:noWrap w:val="0"/>
            <w:vAlign w:val="top"/>
          </w:tcPr>
          <w:p>
            <w:pPr>
              <w:keepNext w:val="0"/>
              <w:keepLines w:val="0"/>
              <w:widowControl/>
              <w:suppressLineNumbers w:val="0"/>
              <w:jc w:val="both"/>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主要功能要求与技术参数</w:t>
            </w:r>
          </w:p>
        </w:tc>
        <w:tc>
          <w:tcPr>
            <w:tcW w:w="758" w:type="pct"/>
            <w:noWrap w:val="0"/>
            <w:vAlign w:val="center"/>
          </w:tcPr>
          <w:p>
            <w:pPr>
              <w:jc w:val="center"/>
              <w:rPr>
                <w:rFonts w:hint="eastAsia" w:ascii="宋体" w:hAnsi="宋体" w:eastAsia="宋体" w:cs="宋体"/>
                <w:kern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24" w:type="pct"/>
            <w:noWrap w:val="0"/>
            <w:vAlign w:val="top"/>
          </w:tcPr>
          <w:p>
            <w:pPr>
              <w:keepNext w:val="0"/>
              <w:keepLines w:val="0"/>
              <w:widowControl/>
              <w:suppressLineNumbers w:val="0"/>
              <w:jc w:val="both"/>
              <w:textAlignment w:val="top"/>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2.1</w:t>
            </w:r>
          </w:p>
        </w:tc>
        <w:tc>
          <w:tcPr>
            <w:tcW w:w="3816" w:type="pct"/>
            <w:noWrap w:val="0"/>
            <w:vAlign w:val="top"/>
          </w:tcPr>
          <w:p>
            <w:pPr>
              <w:keepNext w:val="0"/>
              <w:keepLines w:val="0"/>
              <w:widowControl/>
              <w:suppressLineNumbers w:val="0"/>
              <w:jc w:val="both"/>
              <w:textAlignment w:val="center"/>
              <w:rPr>
                <w:rFonts w:hint="eastAsia" w:ascii="宋体" w:hAnsi="宋体" w:eastAsia="宋体" w:cs="宋体"/>
                <w:sz w:val="24"/>
                <w:szCs w:val="24"/>
              </w:rPr>
            </w:pPr>
            <w:r>
              <w:rPr>
                <w:rFonts w:hint="eastAsia" w:ascii="宋体" w:hAnsi="宋体" w:eastAsia="宋体" w:cs="宋体"/>
                <w:sz w:val="24"/>
                <w:szCs w:val="24"/>
              </w:rPr>
              <w:t>传感器为压差式流量传感器</w:t>
            </w:r>
          </w:p>
        </w:tc>
        <w:tc>
          <w:tcPr>
            <w:tcW w:w="758" w:type="pct"/>
            <w:noWrap w:val="0"/>
            <w:vAlign w:val="top"/>
          </w:tcPr>
          <w:p>
            <w:pPr>
              <w:jc w:val="center"/>
              <w:rPr>
                <w:rFonts w:hint="eastAsia" w:ascii="宋体" w:hAnsi="宋体" w:eastAsia="宋体" w:cs="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24" w:type="pct"/>
            <w:noWrap w:val="0"/>
            <w:vAlign w:val="top"/>
          </w:tcPr>
          <w:p>
            <w:pPr>
              <w:keepNext w:val="0"/>
              <w:keepLines w:val="0"/>
              <w:widowControl/>
              <w:suppressLineNumbers w:val="0"/>
              <w:jc w:val="both"/>
              <w:textAlignment w:val="top"/>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2.2</w:t>
            </w:r>
          </w:p>
        </w:tc>
        <w:tc>
          <w:tcPr>
            <w:tcW w:w="3816" w:type="pct"/>
            <w:noWrap w:val="0"/>
            <w:vAlign w:val="top"/>
          </w:tcPr>
          <w:p>
            <w:pPr>
              <w:keepNext w:val="0"/>
              <w:keepLines w:val="0"/>
              <w:widowControl/>
              <w:suppressLineNumbers w:val="0"/>
              <w:jc w:val="both"/>
              <w:textAlignment w:val="center"/>
              <w:rPr>
                <w:rFonts w:hint="eastAsia" w:ascii="宋体" w:hAnsi="宋体" w:eastAsia="宋体" w:cs="宋体"/>
                <w:sz w:val="24"/>
                <w:szCs w:val="24"/>
              </w:rPr>
            </w:pPr>
            <w:r>
              <w:rPr>
                <w:rFonts w:hint="eastAsia" w:ascii="宋体" w:hAnsi="宋体" w:eastAsia="宋体" w:cs="宋体"/>
                <w:sz w:val="24"/>
                <w:szCs w:val="24"/>
              </w:rPr>
              <w:t>肺通气功能指标检测项目：FVC、PEF、FEV1、FEV1/FVC、FEV3、FEV6、MEP、FIVC、PIF、MIP、MVV、MVV6、MV、BF、VT、ERV、IRV、IC等；需包含气道指标：FEF25\50\75\MMEF</w:t>
            </w:r>
          </w:p>
        </w:tc>
        <w:tc>
          <w:tcPr>
            <w:tcW w:w="758" w:type="pct"/>
            <w:noWrap w:val="0"/>
            <w:vAlign w:val="top"/>
          </w:tcPr>
          <w:p>
            <w:pPr>
              <w:jc w:val="center"/>
              <w:rPr>
                <w:rFonts w:hint="eastAsia" w:ascii="宋体" w:hAnsi="宋体" w:eastAsia="宋体" w:cs="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24" w:type="pct"/>
            <w:noWrap w:val="0"/>
            <w:vAlign w:val="top"/>
          </w:tcPr>
          <w:p>
            <w:pPr>
              <w:keepNext w:val="0"/>
              <w:keepLines w:val="0"/>
              <w:widowControl/>
              <w:suppressLineNumbers w:val="0"/>
              <w:jc w:val="both"/>
              <w:textAlignment w:val="top"/>
              <w:rPr>
                <w:rFonts w:hint="eastAsia" w:ascii="宋体" w:hAnsi="宋体" w:eastAsia="宋体" w:cs="宋体"/>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2.3</w:t>
            </w:r>
          </w:p>
        </w:tc>
        <w:tc>
          <w:tcPr>
            <w:tcW w:w="3816" w:type="pct"/>
            <w:noWrap w:val="0"/>
            <w:vAlign w:val="top"/>
          </w:tcPr>
          <w:p>
            <w:pPr>
              <w:keepNext w:val="0"/>
              <w:keepLines w:val="0"/>
              <w:widowControl/>
              <w:suppressLineNumbers w:val="0"/>
              <w:jc w:val="both"/>
              <w:textAlignment w:val="center"/>
              <w:rPr>
                <w:rFonts w:hint="eastAsia" w:ascii="宋体" w:hAnsi="宋体" w:eastAsia="宋体" w:cs="宋体"/>
                <w:sz w:val="24"/>
                <w:szCs w:val="24"/>
              </w:rPr>
            </w:pPr>
            <w:r>
              <w:rPr>
                <w:rFonts w:hint="eastAsia" w:ascii="宋体" w:hAnsi="宋体" w:eastAsia="宋体" w:cs="宋体"/>
                <w:sz w:val="24"/>
                <w:szCs w:val="24"/>
              </w:rPr>
              <w:t>具备定标校验功能，可实现1-3升定标桶定标选择及三速定标方法，定标报告可打印存档</w:t>
            </w:r>
          </w:p>
        </w:tc>
        <w:tc>
          <w:tcPr>
            <w:tcW w:w="758" w:type="pct"/>
            <w:noWrap w:val="0"/>
            <w:vAlign w:val="top"/>
          </w:tcPr>
          <w:p>
            <w:pPr>
              <w:jc w:val="center"/>
              <w:rPr>
                <w:rFonts w:hint="eastAsia" w:ascii="宋体" w:hAnsi="宋体" w:eastAsia="宋体" w:cs="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24" w:type="pct"/>
            <w:noWrap w:val="0"/>
            <w:vAlign w:val="top"/>
          </w:tcPr>
          <w:p>
            <w:pPr>
              <w:keepNext w:val="0"/>
              <w:keepLines w:val="0"/>
              <w:widowControl/>
              <w:suppressLineNumbers w:val="0"/>
              <w:jc w:val="both"/>
              <w:textAlignment w:val="top"/>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2.4</w:t>
            </w:r>
          </w:p>
        </w:tc>
        <w:tc>
          <w:tcPr>
            <w:tcW w:w="3816" w:type="pct"/>
            <w:noWrap w:val="0"/>
            <w:vAlign w:val="top"/>
          </w:tcPr>
          <w:p>
            <w:pPr>
              <w:keepNext w:val="0"/>
              <w:keepLines w:val="0"/>
              <w:widowControl/>
              <w:suppressLineNumbers w:val="0"/>
              <w:jc w:val="both"/>
              <w:textAlignment w:val="center"/>
              <w:rPr>
                <w:rFonts w:hint="eastAsia" w:ascii="宋体" w:hAnsi="宋体" w:eastAsia="宋体" w:cs="宋体"/>
                <w:sz w:val="24"/>
                <w:szCs w:val="24"/>
              </w:rPr>
            </w:pPr>
            <w:r>
              <w:rPr>
                <w:rFonts w:hint="eastAsia" w:ascii="宋体" w:hAnsi="宋体" w:eastAsia="宋体" w:cs="宋体"/>
                <w:sz w:val="24"/>
                <w:szCs w:val="24"/>
              </w:rPr>
              <w:t>检测结果结合内置GOLD指南自动分析；智能语音提醒测试过程、具备质控结果自动评定分析，可辅助临床诊断；</w:t>
            </w:r>
          </w:p>
          <w:p>
            <w:pPr>
              <w:keepNext w:val="0"/>
              <w:keepLines w:val="0"/>
              <w:widowControl/>
              <w:suppressLineNumbers w:val="0"/>
              <w:jc w:val="both"/>
              <w:textAlignment w:val="center"/>
              <w:rPr>
                <w:rFonts w:hint="eastAsia" w:ascii="宋体" w:hAnsi="宋体" w:eastAsia="宋体" w:cs="宋体"/>
                <w:sz w:val="24"/>
                <w:szCs w:val="24"/>
              </w:rPr>
            </w:pPr>
            <w:r>
              <w:rPr>
                <w:rFonts w:hint="eastAsia" w:ascii="宋体" w:hAnsi="宋体" w:eastAsia="宋体" w:cs="宋体"/>
                <w:sz w:val="24"/>
                <w:szCs w:val="24"/>
              </w:rPr>
              <w:t>云端存储，不限测试数据的存储数量</w:t>
            </w:r>
          </w:p>
        </w:tc>
        <w:tc>
          <w:tcPr>
            <w:tcW w:w="758" w:type="pct"/>
            <w:noWrap w:val="0"/>
            <w:vAlign w:val="top"/>
          </w:tcPr>
          <w:p>
            <w:pPr>
              <w:jc w:val="center"/>
              <w:rPr>
                <w:rFonts w:hint="eastAsia" w:ascii="宋体" w:hAnsi="宋体" w:eastAsia="宋体" w:cs="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24" w:type="pct"/>
            <w:noWrap w:val="0"/>
            <w:vAlign w:val="top"/>
          </w:tcPr>
          <w:p>
            <w:pPr>
              <w:keepNext w:val="0"/>
              <w:keepLines w:val="0"/>
              <w:widowControl/>
              <w:suppressLineNumbers w:val="0"/>
              <w:jc w:val="both"/>
              <w:textAlignment w:val="top"/>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2.5</w:t>
            </w:r>
          </w:p>
        </w:tc>
        <w:tc>
          <w:tcPr>
            <w:tcW w:w="3816" w:type="pct"/>
            <w:noWrap w:val="0"/>
            <w:vAlign w:val="top"/>
          </w:tcPr>
          <w:p>
            <w:pPr>
              <w:keepNext w:val="0"/>
              <w:keepLines w:val="0"/>
              <w:widowControl/>
              <w:suppressLineNumbers w:val="0"/>
              <w:jc w:val="both"/>
              <w:textAlignment w:val="center"/>
              <w:rPr>
                <w:rFonts w:hint="eastAsia" w:ascii="宋体" w:hAnsi="宋体" w:eastAsia="宋体" w:cs="宋体"/>
                <w:sz w:val="24"/>
                <w:szCs w:val="24"/>
              </w:rPr>
            </w:pPr>
            <w:r>
              <w:rPr>
                <w:rFonts w:hint="eastAsia" w:ascii="宋体" w:hAnsi="宋体" w:eastAsia="宋体" w:cs="宋体"/>
                <w:sz w:val="24"/>
                <w:szCs w:val="24"/>
              </w:rPr>
              <w:t>呼气、吸气峰值流量（0~840LPM），误差±10%</w:t>
            </w:r>
          </w:p>
        </w:tc>
        <w:tc>
          <w:tcPr>
            <w:tcW w:w="758" w:type="pct"/>
            <w:noWrap w:val="0"/>
            <w:vAlign w:val="top"/>
          </w:tcPr>
          <w:p>
            <w:pPr>
              <w:jc w:val="center"/>
              <w:rPr>
                <w:rFonts w:hint="eastAsia" w:ascii="宋体" w:hAnsi="宋体" w:eastAsia="宋体" w:cs="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24" w:type="pct"/>
            <w:noWrap w:val="0"/>
            <w:vAlign w:val="top"/>
          </w:tcPr>
          <w:p>
            <w:pPr>
              <w:keepNext w:val="0"/>
              <w:keepLines w:val="0"/>
              <w:widowControl/>
              <w:suppressLineNumbers w:val="0"/>
              <w:jc w:val="both"/>
              <w:textAlignment w:val="top"/>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2.6</w:t>
            </w:r>
          </w:p>
        </w:tc>
        <w:tc>
          <w:tcPr>
            <w:tcW w:w="3816" w:type="pct"/>
            <w:noWrap w:val="0"/>
            <w:vAlign w:val="top"/>
          </w:tcPr>
          <w:p>
            <w:pPr>
              <w:keepNext w:val="0"/>
              <w:keepLines w:val="0"/>
              <w:widowControl/>
              <w:suppressLineNumbers w:val="0"/>
              <w:jc w:val="both"/>
              <w:textAlignment w:val="center"/>
              <w:rPr>
                <w:rFonts w:hint="eastAsia" w:ascii="宋体" w:hAnsi="宋体" w:eastAsia="宋体" w:cs="宋体"/>
                <w:sz w:val="24"/>
                <w:szCs w:val="24"/>
              </w:rPr>
            </w:pPr>
            <w:r>
              <w:rPr>
                <w:rFonts w:hint="eastAsia" w:ascii="宋体" w:hAnsi="宋体" w:eastAsia="宋体" w:cs="宋体"/>
                <w:sz w:val="24"/>
                <w:szCs w:val="24"/>
              </w:rPr>
              <w:t xml:space="preserve">用力呼气、吸气肺活量（0~8L），误差±3% </w:t>
            </w:r>
          </w:p>
        </w:tc>
        <w:tc>
          <w:tcPr>
            <w:tcW w:w="758" w:type="pct"/>
            <w:noWrap w:val="0"/>
            <w:vAlign w:val="top"/>
          </w:tcPr>
          <w:p>
            <w:pPr>
              <w:jc w:val="center"/>
              <w:rPr>
                <w:rFonts w:hint="eastAsia" w:ascii="宋体" w:hAnsi="宋体" w:eastAsia="宋体" w:cs="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24" w:type="pct"/>
            <w:noWrap w:val="0"/>
            <w:vAlign w:val="top"/>
          </w:tcPr>
          <w:p>
            <w:pPr>
              <w:keepNext w:val="0"/>
              <w:keepLines w:val="0"/>
              <w:widowControl/>
              <w:suppressLineNumbers w:val="0"/>
              <w:jc w:val="both"/>
              <w:textAlignment w:val="top"/>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2.7</w:t>
            </w:r>
          </w:p>
        </w:tc>
        <w:tc>
          <w:tcPr>
            <w:tcW w:w="3816" w:type="pct"/>
            <w:noWrap w:val="0"/>
            <w:vAlign w:val="top"/>
          </w:tcPr>
          <w:p>
            <w:pPr>
              <w:keepNext w:val="0"/>
              <w:keepLines w:val="0"/>
              <w:widowControl/>
              <w:suppressLineNumbers w:val="0"/>
              <w:jc w:val="both"/>
              <w:textAlignment w:val="center"/>
              <w:rPr>
                <w:rFonts w:hint="eastAsia" w:ascii="宋体" w:hAnsi="宋体" w:eastAsia="宋体" w:cs="宋体"/>
                <w:sz w:val="24"/>
                <w:szCs w:val="24"/>
              </w:rPr>
            </w:pPr>
            <w:r>
              <w:rPr>
                <w:rFonts w:hint="eastAsia" w:ascii="宋体" w:hAnsi="宋体" w:eastAsia="宋体" w:cs="宋体"/>
                <w:sz w:val="24"/>
                <w:szCs w:val="24"/>
              </w:rPr>
              <w:t>3.5寸或以上液晶触摸屏，可连接身份证读卡器，方便数据录入</w:t>
            </w:r>
          </w:p>
        </w:tc>
        <w:tc>
          <w:tcPr>
            <w:tcW w:w="758" w:type="pct"/>
            <w:noWrap w:val="0"/>
            <w:vAlign w:val="top"/>
          </w:tcPr>
          <w:p>
            <w:pPr>
              <w:jc w:val="both"/>
              <w:rPr>
                <w:rFonts w:hint="eastAsia" w:ascii="宋体" w:hAnsi="宋体" w:eastAsia="宋体" w:cs="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24" w:type="pct"/>
            <w:noWrap w:val="0"/>
            <w:vAlign w:val="top"/>
          </w:tcPr>
          <w:p>
            <w:pPr>
              <w:keepNext w:val="0"/>
              <w:keepLines w:val="0"/>
              <w:widowControl/>
              <w:suppressLineNumbers w:val="0"/>
              <w:jc w:val="both"/>
              <w:textAlignment w:val="top"/>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2.8</w:t>
            </w:r>
          </w:p>
        </w:tc>
        <w:tc>
          <w:tcPr>
            <w:tcW w:w="3816" w:type="pct"/>
            <w:noWrap w:val="0"/>
            <w:vAlign w:val="top"/>
          </w:tcPr>
          <w:p>
            <w:pPr>
              <w:keepNext w:val="0"/>
              <w:keepLines w:val="0"/>
              <w:widowControl/>
              <w:suppressLineNumbers w:val="0"/>
              <w:jc w:val="both"/>
              <w:textAlignment w:val="center"/>
              <w:rPr>
                <w:rFonts w:hint="eastAsia" w:ascii="宋体" w:hAnsi="宋体" w:eastAsia="宋体" w:cs="宋体"/>
                <w:sz w:val="24"/>
                <w:szCs w:val="24"/>
              </w:rPr>
            </w:pPr>
            <w:r>
              <w:rPr>
                <w:rFonts w:hint="eastAsia" w:ascii="宋体" w:hAnsi="宋体" w:eastAsia="宋体" w:cs="宋体"/>
                <w:sz w:val="24"/>
                <w:szCs w:val="24"/>
                <w:lang w:val="zh-CN" w:eastAsia="zh-CN"/>
              </w:rPr>
              <w:t>▲具备肺康复训练功能，双重训练模式，可调整训练阻抗，训练、检测结果可按照周/月/季形成历史趋势图表和相应简报，具备科研价值。</w:t>
            </w:r>
          </w:p>
        </w:tc>
        <w:tc>
          <w:tcPr>
            <w:tcW w:w="758" w:type="pct"/>
            <w:noWrap w:val="0"/>
            <w:vAlign w:val="top"/>
          </w:tcPr>
          <w:p>
            <w:pPr>
              <w:jc w:val="center"/>
              <w:rPr>
                <w:rFonts w:hint="eastAsia" w:ascii="宋体" w:hAnsi="宋体" w:eastAsia="宋体" w:cs="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24" w:type="pct"/>
            <w:noWrap w:val="0"/>
            <w:vAlign w:val="top"/>
          </w:tcPr>
          <w:p>
            <w:pPr>
              <w:keepNext w:val="0"/>
              <w:keepLines w:val="0"/>
              <w:widowControl/>
              <w:suppressLineNumbers w:val="0"/>
              <w:jc w:val="both"/>
              <w:textAlignment w:val="top"/>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2.9</w:t>
            </w:r>
          </w:p>
        </w:tc>
        <w:tc>
          <w:tcPr>
            <w:tcW w:w="3816" w:type="pct"/>
            <w:noWrap w:val="0"/>
            <w:vAlign w:val="top"/>
          </w:tcPr>
          <w:p>
            <w:pPr>
              <w:keepNext w:val="0"/>
              <w:keepLines w:val="0"/>
              <w:widowControl/>
              <w:suppressLineNumbers w:val="0"/>
              <w:jc w:val="both"/>
              <w:textAlignment w:val="center"/>
              <w:rPr>
                <w:rFonts w:hint="eastAsia" w:ascii="宋体" w:hAnsi="宋体" w:eastAsia="宋体" w:cs="宋体"/>
                <w:sz w:val="24"/>
                <w:szCs w:val="24"/>
              </w:rPr>
            </w:pPr>
            <w:r>
              <w:rPr>
                <w:rFonts w:hint="eastAsia" w:ascii="宋体" w:hAnsi="宋体" w:eastAsia="宋体" w:cs="宋体"/>
                <w:sz w:val="24"/>
                <w:szCs w:val="24"/>
                <w:lang w:val="zh-CN" w:eastAsia="zh-CN"/>
              </w:rPr>
              <w:t>▲通过显示屏提供情景互动训练，可检测呼吸节奏和深度是否达到预定目标。</w:t>
            </w:r>
          </w:p>
        </w:tc>
        <w:tc>
          <w:tcPr>
            <w:tcW w:w="758" w:type="pct"/>
            <w:noWrap w:val="0"/>
            <w:vAlign w:val="top"/>
          </w:tcPr>
          <w:p>
            <w:pPr>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24" w:type="pct"/>
            <w:noWrap w:val="0"/>
            <w:vAlign w:val="top"/>
          </w:tcPr>
          <w:p>
            <w:pPr>
              <w:keepNext w:val="0"/>
              <w:keepLines w:val="0"/>
              <w:widowControl/>
              <w:suppressLineNumbers w:val="0"/>
              <w:jc w:val="both"/>
              <w:textAlignment w:val="top"/>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 xml:space="preserve">2.10 </w:t>
            </w:r>
          </w:p>
        </w:tc>
        <w:tc>
          <w:tcPr>
            <w:tcW w:w="3816" w:type="pct"/>
            <w:noWrap w:val="0"/>
            <w:vAlign w:val="top"/>
          </w:tcPr>
          <w:p>
            <w:pPr>
              <w:keepNext w:val="0"/>
              <w:keepLines w:val="0"/>
              <w:widowControl/>
              <w:suppressLineNumbers w:val="0"/>
              <w:jc w:val="both"/>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▲具备随访问卷模块：问卷评估类型包含三大类别，个人健康状态评估(个人信息及病史、PHQ-9、GAD-7)、慢阻肺评估（CCQ\mMRC\CAT、急性加重次数）哮喘评估（成人\儿童ACT评估），并能够对评估风险等级自动判定</w:t>
            </w:r>
          </w:p>
          <w:p>
            <w:pPr>
              <w:keepNext w:val="0"/>
              <w:keepLines w:val="0"/>
              <w:widowControl/>
              <w:suppressLineNumbers w:val="0"/>
              <w:jc w:val="both"/>
              <w:textAlignment w:val="center"/>
              <w:rPr>
                <w:rFonts w:hint="eastAsia" w:ascii="宋体" w:hAnsi="宋体" w:eastAsia="宋体" w:cs="宋体"/>
                <w:sz w:val="24"/>
                <w:szCs w:val="24"/>
              </w:rPr>
            </w:pPr>
          </w:p>
        </w:tc>
        <w:tc>
          <w:tcPr>
            <w:tcW w:w="758" w:type="pct"/>
            <w:noWrap w:val="0"/>
            <w:vAlign w:val="top"/>
          </w:tcPr>
          <w:p>
            <w:pPr>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24" w:type="pct"/>
            <w:noWrap w:val="0"/>
            <w:vAlign w:val="top"/>
          </w:tcPr>
          <w:p>
            <w:pPr>
              <w:keepNext w:val="0"/>
              <w:keepLines w:val="0"/>
              <w:widowControl/>
              <w:suppressLineNumbers w:val="0"/>
              <w:jc w:val="both"/>
              <w:textAlignment w:val="top"/>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 xml:space="preserve">2.11 </w:t>
            </w:r>
          </w:p>
        </w:tc>
        <w:tc>
          <w:tcPr>
            <w:tcW w:w="3816" w:type="pct"/>
            <w:noWrap w:val="0"/>
            <w:vAlign w:val="top"/>
          </w:tcPr>
          <w:p>
            <w:pPr>
              <w:keepNext w:val="0"/>
              <w:keepLines w:val="0"/>
              <w:widowControl/>
              <w:suppressLineNumbers w:val="0"/>
              <w:jc w:val="both"/>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▲远程管理：医生可通过慢性呼吸疾病辅助决策系统对肺功能检测仪账号下的患者情况统计、分析，报告打印，检测设备数据可实时上传至云端辅助决策系统，也可将云端医生账号下患者数据同步下载至设备端。</w:t>
            </w:r>
          </w:p>
          <w:p>
            <w:pPr>
              <w:keepNext w:val="0"/>
              <w:keepLines w:val="0"/>
              <w:widowControl/>
              <w:suppressLineNumbers w:val="0"/>
              <w:jc w:val="both"/>
              <w:textAlignment w:val="center"/>
              <w:rPr>
                <w:rFonts w:hint="eastAsia" w:ascii="宋体" w:hAnsi="宋体" w:eastAsia="宋体" w:cs="宋体"/>
                <w:sz w:val="24"/>
                <w:szCs w:val="24"/>
              </w:rPr>
            </w:pPr>
          </w:p>
        </w:tc>
        <w:tc>
          <w:tcPr>
            <w:tcW w:w="758" w:type="pct"/>
            <w:noWrap w:val="0"/>
            <w:vAlign w:val="top"/>
          </w:tcPr>
          <w:p>
            <w:pPr>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24" w:type="pct"/>
            <w:noWrap w:val="0"/>
            <w:vAlign w:val="top"/>
          </w:tcPr>
          <w:p>
            <w:pPr>
              <w:keepNext w:val="0"/>
              <w:keepLines w:val="0"/>
              <w:widowControl/>
              <w:suppressLineNumbers w:val="0"/>
              <w:jc w:val="both"/>
              <w:textAlignment w:val="top"/>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三</w:t>
            </w:r>
          </w:p>
        </w:tc>
        <w:tc>
          <w:tcPr>
            <w:tcW w:w="3816" w:type="pct"/>
            <w:noWrap w:val="0"/>
            <w:vAlign w:val="top"/>
          </w:tcPr>
          <w:p>
            <w:pPr>
              <w:keepNext w:val="0"/>
              <w:keepLines w:val="0"/>
              <w:widowControl/>
              <w:suppressLineNumbers w:val="0"/>
              <w:jc w:val="both"/>
              <w:textAlignment w:val="top"/>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安装验收</w:t>
            </w:r>
          </w:p>
        </w:tc>
        <w:tc>
          <w:tcPr>
            <w:tcW w:w="758" w:type="pct"/>
            <w:noWrap w:val="0"/>
            <w:vAlign w:val="top"/>
          </w:tcPr>
          <w:p>
            <w:pPr>
              <w:jc w:val="center"/>
              <w:rPr>
                <w:rFonts w:hint="eastAsia" w:ascii="宋体" w:hAnsi="宋体" w:eastAsia="宋体" w:cs="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24" w:type="pct"/>
            <w:noWrap w:val="0"/>
            <w:vAlign w:val="top"/>
          </w:tcPr>
          <w:p>
            <w:pPr>
              <w:keepNext w:val="0"/>
              <w:keepLines w:val="0"/>
              <w:widowControl/>
              <w:suppressLineNumbers w:val="0"/>
              <w:jc w:val="both"/>
              <w:textAlignment w:val="top"/>
              <w:rPr>
                <w:rFonts w:hint="eastAsia" w:ascii="宋体" w:hAnsi="宋体" w:eastAsia="宋体" w:cs="宋体"/>
                <w:sz w:val="24"/>
                <w:szCs w:val="24"/>
              </w:rPr>
            </w:pPr>
            <w:r>
              <w:rPr>
                <w:rFonts w:hint="eastAsia" w:ascii="宋体" w:hAnsi="宋体" w:eastAsia="宋体" w:cs="宋体"/>
                <w:i w:val="0"/>
                <w:iCs w:val="0"/>
                <w:color w:val="000000"/>
                <w:kern w:val="0"/>
                <w:sz w:val="24"/>
                <w:szCs w:val="24"/>
                <w:u w:val="none"/>
                <w:lang w:val="en-US" w:eastAsia="zh-CN" w:bidi="ar"/>
              </w:rPr>
              <w:t>3.1</w:t>
            </w:r>
          </w:p>
        </w:tc>
        <w:tc>
          <w:tcPr>
            <w:tcW w:w="3816" w:type="pct"/>
            <w:noWrap w:val="0"/>
            <w:vAlign w:val="center"/>
          </w:tcPr>
          <w:p>
            <w:pPr>
              <w:keepNext w:val="0"/>
              <w:keepLines w:val="0"/>
              <w:widowControl/>
              <w:suppressLineNumbers w:val="0"/>
              <w:jc w:val="both"/>
              <w:textAlignment w:val="center"/>
              <w:rPr>
                <w:rFonts w:hint="eastAsia" w:ascii="宋体" w:hAnsi="宋体" w:eastAsia="宋体" w:cs="宋体"/>
                <w:sz w:val="24"/>
                <w:szCs w:val="24"/>
              </w:rPr>
            </w:pPr>
            <w:r>
              <w:rPr>
                <w:rFonts w:hint="eastAsia" w:ascii="宋体" w:hAnsi="宋体" w:eastAsia="宋体" w:cs="宋体"/>
                <w:i w:val="0"/>
                <w:iCs w:val="0"/>
                <w:color w:val="000000"/>
                <w:kern w:val="0"/>
                <w:sz w:val="24"/>
                <w:szCs w:val="24"/>
                <w:u w:val="none"/>
                <w:lang w:val="en-US" w:eastAsia="zh-CN" w:bidi="ar"/>
              </w:rPr>
              <w:t>安装地点：医院指定科室；</w:t>
            </w:r>
          </w:p>
        </w:tc>
        <w:tc>
          <w:tcPr>
            <w:tcW w:w="758" w:type="pct"/>
            <w:noWrap w:val="0"/>
            <w:vAlign w:val="top"/>
          </w:tcPr>
          <w:p>
            <w:pPr>
              <w:jc w:val="center"/>
              <w:rPr>
                <w:rFonts w:hint="eastAsia" w:ascii="宋体" w:hAnsi="宋体" w:eastAsia="宋体" w:cs="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24" w:type="pct"/>
            <w:noWrap w:val="0"/>
            <w:vAlign w:val="top"/>
          </w:tcPr>
          <w:p>
            <w:pPr>
              <w:keepNext w:val="0"/>
              <w:keepLines w:val="0"/>
              <w:widowControl/>
              <w:suppressLineNumbers w:val="0"/>
              <w:jc w:val="both"/>
              <w:textAlignment w:val="top"/>
              <w:rPr>
                <w:rFonts w:hint="eastAsia" w:ascii="宋体" w:hAnsi="宋体" w:eastAsia="宋体" w:cs="宋体"/>
                <w:sz w:val="24"/>
                <w:szCs w:val="24"/>
              </w:rPr>
            </w:pPr>
            <w:r>
              <w:rPr>
                <w:rFonts w:hint="eastAsia" w:ascii="宋体" w:hAnsi="宋体" w:eastAsia="宋体" w:cs="宋体"/>
                <w:i w:val="0"/>
                <w:iCs w:val="0"/>
                <w:color w:val="000000"/>
                <w:kern w:val="0"/>
                <w:sz w:val="24"/>
                <w:szCs w:val="24"/>
                <w:u w:val="none"/>
                <w:lang w:val="en-US" w:eastAsia="zh-CN" w:bidi="ar"/>
              </w:rPr>
              <w:t>3.2</w:t>
            </w:r>
          </w:p>
        </w:tc>
        <w:tc>
          <w:tcPr>
            <w:tcW w:w="3816" w:type="pct"/>
            <w:noWrap w:val="0"/>
            <w:vAlign w:val="center"/>
          </w:tcPr>
          <w:p>
            <w:pPr>
              <w:keepNext w:val="0"/>
              <w:keepLines w:val="0"/>
              <w:widowControl/>
              <w:suppressLineNumbers w:val="0"/>
              <w:jc w:val="both"/>
              <w:textAlignment w:val="center"/>
              <w:rPr>
                <w:rFonts w:hint="eastAsia" w:ascii="宋体" w:hAnsi="宋体" w:eastAsia="宋体" w:cs="宋体"/>
                <w:sz w:val="24"/>
                <w:szCs w:val="24"/>
              </w:rPr>
            </w:pPr>
            <w:r>
              <w:rPr>
                <w:rFonts w:hint="eastAsia" w:ascii="宋体" w:hAnsi="宋体" w:eastAsia="宋体" w:cs="宋体"/>
                <w:i w:val="0"/>
                <w:iCs w:val="0"/>
                <w:color w:val="000000"/>
                <w:kern w:val="0"/>
                <w:sz w:val="24"/>
                <w:szCs w:val="24"/>
                <w:u w:val="none"/>
                <w:lang w:val="en-US" w:eastAsia="zh-CN" w:bidi="ar"/>
              </w:rPr>
              <w:t>安装完成时间：合同签订后1个月内交货，接买方通知后3天内完成安装；</w:t>
            </w:r>
          </w:p>
        </w:tc>
        <w:tc>
          <w:tcPr>
            <w:tcW w:w="758" w:type="pct"/>
            <w:noWrap w:val="0"/>
            <w:vAlign w:val="top"/>
          </w:tcPr>
          <w:p>
            <w:pPr>
              <w:jc w:val="center"/>
              <w:rPr>
                <w:rFonts w:hint="eastAsia" w:ascii="宋体" w:hAnsi="宋体" w:eastAsia="宋体" w:cs="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424" w:type="pct"/>
            <w:noWrap w:val="0"/>
            <w:vAlign w:val="top"/>
          </w:tcPr>
          <w:p>
            <w:pPr>
              <w:keepNext w:val="0"/>
              <w:keepLines w:val="0"/>
              <w:widowControl/>
              <w:suppressLineNumbers w:val="0"/>
              <w:jc w:val="both"/>
              <w:textAlignment w:val="top"/>
              <w:rPr>
                <w:rFonts w:hint="eastAsia" w:ascii="宋体" w:hAnsi="宋体" w:eastAsia="宋体" w:cs="宋体"/>
                <w:sz w:val="24"/>
                <w:szCs w:val="24"/>
              </w:rPr>
            </w:pPr>
            <w:r>
              <w:rPr>
                <w:rFonts w:hint="eastAsia" w:ascii="宋体" w:hAnsi="宋体" w:eastAsia="宋体" w:cs="宋体"/>
                <w:i w:val="0"/>
                <w:iCs w:val="0"/>
                <w:color w:val="000000"/>
                <w:kern w:val="0"/>
                <w:sz w:val="24"/>
                <w:szCs w:val="24"/>
                <w:u w:val="none"/>
                <w:lang w:val="en-US" w:eastAsia="zh-CN" w:bidi="ar"/>
              </w:rPr>
              <w:t>3.3</w:t>
            </w:r>
          </w:p>
        </w:tc>
        <w:tc>
          <w:tcPr>
            <w:tcW w:w="3816" w:type="pct"/>
            <w:noWrap w:val="0"/>
            <w:vAlign w:val="center"/>
          </w:tcPr>
          <w:p>
            <w:pPr>
              <w:keepNext w:val="0"/>
              <w:keepLines w:val="0"/>
              <w:widowControl/>
              <w:suppressLineNumbers w:val="0"/>
              <w:jc w:val="both"/>
              <w:textAlignment w:val="center"/>
              <w:rPr>
                <w:rFonts w:hint="eastAsia" w:ascii="宋体" w:hAnsi="宋体" w:eastAsia="宋体" w:cs="宋体"/>
                <w:sz w:val="24"/>
                <w:szCs w:val="24"/>
              </w:rPr>
            </w:pPr>
            <w:r>
              <w:rPr>
                <w:rFonts w:hint="eastAsia" w:ascii="宋体" w:hAnsi="宋体" w:eastAsia="宋体" w:cs="宋体"/>
                <w:i w:val="0"/>
                <w:iCs w:val="0"/>
                <w:color w:val="000000"/>
                <w:kern w:val="0"/>
                <w:sz w:val="24"/>
                <w:szCs w:val="24"/>
                <w:u w:val="none"/>
                <w:lang w:val="en-US" w:eastAsia="zh-CN" w:bidi="ar"/>
              </w:rPr>
              <w:t>安装标准：符合我国国家有关技术规范和技术标准；</w:t>
            </w:r>
          </w:p>
        </w:tc>
        <w:tc>
          <w:tcPr>
            <w:tcW w:w="758" w:type="pct"/>
            <w:noWrap w:val="0"/>
            <w:vAlign w:val="top"/>
          </w:tcPr>
          <w:p>
            <w:pPr>
              <w:jc w:val="center"/>
              <w:rPr>
                <w:rFonts w:hint="eastAsia" w:ascii="宋体" w:hAnsi="宋体" w:eastAsia="宋体" w:cs="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24" w:type="pct"/>
            <w:noWrap w:val="0"/>
            <w:vAlign w:val="top"/>
          </w:tcPr>
          <w:p>
            <w:pPr>
              <w:keepNext w:val="0"/>
              <w:keepLines w:val="0"/>
              <w:widowControl/>
              <w:suppressLineNumbers w:val="0"/>
              <w:jc w:val="both"/>
              <w:textAlignment w:val="top"/>
              <w:rPr>
                <w:rFonts w:hint="eastAsia" w:ascii="宋体" w:hAnsi="宋体" w:eastAsia="宋体" w:cs="宋体"/>
                <w:b/>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3.4</w:t>
            </w:r>
          </w:p>
        </w:tc>
        <w:tc>
          <w:tcPr>
            <w:tcW w:w="3816" w:type="pct"/>
            <w:noWrap w:val="0"/>
            <w:vAlign w:val="center"/>
          </w:tcPr>
          <w:p>
            <w:pPr>
              <w:keepNext w:val="0"/>
              <w:keepLines w:val="0"/>
              <w:widowControl/>
              <w:suppressLineNumbers w:val="0"/>
              <w:jc w:val="both"/>
              <w:textAlignment w:val="center"/>
              <w:rPr>
                <w:rFonts w:hint="eastAsia" w:ascii="宋体" w:hAnsi="宋体" w:eastAsia="宋体" w:cs="宋体"/>
                <w:b/>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验收标准：符合我国国家有关技术规范和技术标准。</w:t>
            </w:r>
          </w:p>
        </w:tc>
        <w:tc>
          <w:tcPr>
            <w:tcW w:w="758" w:type="pct"/>
            <w:noWrap w:val="0"/>
            <w:vAlign w:val="top"/>
          </w:tcPr>
          <w:p>
            <w:pPr>
              <w:jc w:val="center"/>
              <w:rPr>
                <w:rFonts w:hint="eastAsia" w:ascii="宋体" w:hAnsi="宋体" w:eastAsia="宋体" w:cs="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24" w:type="pct"/>
            <w:noWrap w:val="0"/>
            <w:vAlign w:val="top"/>
          </w:tcPr>
          <w:p>
            <w:pPr>
              <w:keepNext w:val="0"/>
              <w:keepLines w:val="0"/>
              <w:widowControl/>
              <w:suppressLineNumbers w:val="0"/>
              <w:jc w:val="both"/>
              <w:textAlignment w:val="top"/>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3.5</w:t>
            </w:r>
          </w:p>
        </w:tc>
        <w:tc>
          <w:tcPr>
            <w:tcW w:w="3816" w:type="pct"/>
            <w:noWrap w:val="0"/>
            <w:vAlign w:val="center"/>
          </w:tcPr>
          <w:p>
            <w:pPr>
              <w:keepNext w:val="0"/>
              <w:keepLines w:val="0"/>
              <w:widowControl/>
              <w:suppressLineNumbers w:val="0"/>
              <w:jc w:val="both"/>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安装、验收合格前所产生的一切费用（包括卸货、搬运、必要时的安全性能检测费等）由供方负责提供。</w:t>
            </w:r>
          </w:p>
        </w:tc>
        <w:tc>
          <w:tcPr>
            <w:tcW w:w="758" w:type="pct"/>
            <w:noWrap w:val="0"/>
            <w:vAlign w:val="top"/>
          </w:tcPr>
          <w:p>
            <w:pPr>
              <w:jc w:val="center"/>
              <w:rPr>
                <w:rFonts w:hint="eastAsia" w:ascii="宋体" w:hAnsi="宋体" w:eastAsia="宋体" w:cs="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24" w:type="pct"/>
            <w:noWrap w:val="0"/>
            <w:vAlign w:val="top"/>
          </w:tcPr>
          <w:p>
            <w:pPr>
              <w:keepNext w:val="0"/>
              <w:keepLines w:val="0"/>
              <w:widowControl/>
              <w:suppressLineNumbers w:val="0"/>
              <w:jc w:val="both"/>
              <w:textAlignment w:val="top"/>
              <w:rPr>
                <w:rFonts w:hint="eastAsia" w:ascii="宋体" w:hAnsi="宋体" w:eastAsia="宋体" w:cs="宋体"/>
                <w:sz w:val="24"/>
                <w:szCs w:val="24"/>
                <w:lang w:val="en-US" w:eastAsia="zh-CN"/>
              </w:rPr>
            </w:pPr>
            <w:r>
              <w:rPr>
                <w:rFonts w:hint="eastAsia" w:ascii="宋体" w:hAnsi="宋体" w:eastAsia="宋体" w:cs="宋体"/>
                <w:b/>
                <w:bCs/>
                <w:i w:val="0"/>
                <w:iCs w:val="0"/>
                <w:color w:val="000000"/>
                <w:kern w:val="0"/>
                <w:sz w:val="24"/>
                <w:szCs w:val="24"/>
                <w:u w:val="none"/>
                <w:lang w:val="en-US" w:eastAsia="zh-CN" w:bidi="ar"/>
              </w:rPr>
              <w:t>四</w:t>
            </w:r>
          </w:p>
        </w:tc>
        <w:tc>
          <w:tcPr>
            <w:tcW w:w="3816" w:type="pct"/>
            <w:noWrap w:val="0"/>
            <w:vAlign w:val="top"/>
          </w:tcPr>
          <w:p>
            <w:pPr>
              <w:keepNext w:val="0"/>
              <w:keepLines w:val="0"/>
              <w:widowControl/>
              <w:suppressLineNumbers w:val="0"/>
              <w:jc w:val="both"/>
              <w:textAlignment w:val="top"/>
              <w:rPr>
                <w:rFonts w:hint="eastAsia" w:ascii="宋体" w:hAnsi="宋体" w:eastAsia="宋体" w:cs="宋体"/>
                <w:kern w:val="2"/>
                <w:sz w:val="24"/>
                <w:szCs w:val="24"/>
                <w:lang w:val="en-US" w:eastAsia="zh-CN" w:bidi="ar-SA"/>
              </w:rPr>
            </w:pPr>
            <w:r>
              <w:rPr>
                <w:rFonts w:hint="eastAsia" w:ascii="宋体" w:hAnsi="宋体" w:eastAsia="宋体" w:cs="宋体"/>
                <w:b/>
                <w:bCs/>
                <w:i w:val="0"/>
                <w:iCs w:val="0"/>
                <w:color w:val="000000"/>
                <w:kern w:val="0"/>
                <w:sz w:val="24"/>
                <w:szCs w:val="24"/>
                <w:u w:val="none"/>
                <w:lang w:val="en-US" w:eastAsia="zh-CN" w:bidi="ar"/>
              </w:rPr>
              <w:t>售后服务</w:t>
            </w:r>
          </w:p>
        </w:tc>
        <w:tc>
          <w:tcPr>
            <w:tcW w:w="758" w:type="pct"/>
            <w:noWrap w:val="0"/>
            <w:vAlign w:val="top"/>
          </w:tcPr>
          <w:p>
            <w:pPr>
              <w:jc w:val="center"/>
              <w:rPr>
                <w:rFonts w:hint="eastAsia" w:ascii="宋体" w:hAnsi="宋体" w:eastAsia="宋体" w:cs="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24" w:type="pct"/>
            <w:noWrap w:val="0"/>
            <w:vAlign w:val="center"/>
          </w:tcPr>
          <w:p>
            <w:pPr>
              <w:keepNext w:val="0"/>
              <w:keepLines w:val="0"/>
              <w:widowControl/>
              <w:suppressLineNumbers w:val="0"/>
              <w:jc w:val="both"/>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4.1</w:t>
            </w:r>
          </w:p>
        </w:tc>
        <w:tc>
          <w:tcPr>
            <w:tcW w:w="3816" w:type="pct"/>
            <w:noWrap w:val="0"/>
            <w:vAlign w:val="center"/>
          </w:tcPr>
          <w:p>
            <w:pPr>
              <w:keepNext w:val="0"/>
              <w:keepLines w:val="0"/>
              <w:widowControl/>
              <w:suppressLineNumbers w:val="0"/>
              <w:jc w:val="both"/>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免费保修：设备验收合格后保修≥3年，期间免一切维修费用；</w:t>
            </w:r>
          </w:p>
        </w:tc>
        <w:tc>
          <w:tcPr>
            <w:tcW w:w="758" w:type="pct"/>
            <w:noWrap w:val="0"/>
            <w:vAlign w:val="top"/>
          </w:tcPr>
          <w:p>
            <w:pPr>
              <w:jc w:val="center"/>
              <w:rPr>
                <w:rFonts w:hint="eastAsia" w:ascii="宋体" w:hAnsi="宋体" w:eastAsia="宋体" w:cs="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24" w:type="pct"/>
            <w:noWrap w:val="0"/>
            <w:vAlign w:val="top"/>
          </w:tcPr>
          <w:p>
            <w:pPr>
              <w:keepNext w:val="0"/>
              <w:keepLines w:val="0"/>
              <w:widowControl/>
              <w:suppressLineNumbers w:val="0"/>
              <w:jc w:val="both"/>
              <w:textAlignment w:val="top"/>
              <w:rPr>
                <w:rFonts w:hint="eastAsia" w:ascii="宋体" w:hAnsi="宋体" w:eastAsia="宋体" w:cs="宋体"/>
                <w:sz w:val="24"/>
                <w:szCs w:val="24"/>
                <w:lang w:val="en-US" w:eastAsia="zh-CN"/>
              </w:rPr>
            </w:pPr>
            <w:r>
              <w:rPr>
                <w:rFonts w:hint="eastAsia" w:ascii="宋体" w:hAnsi="宋体" w:eastAsia="宋体" w:cs="宋体"/>
                <w:b/>
                <w:bCs/>
                <w:i w:val="0"/>
                <w:iCs w:val="0"/>
                <w:color w:val="000000"/>
                <w:kern w:val="0"/>
                <w:sz w:val="24"/>
                <w:szCs w:val="24"/>
                <w:u w:val="none"/>
                <w:lang w:val="en-US" w:eastAsia="zh-CN" w:bidi="ar"/>
              </w:rPr>
              <w:t>五</w:t>
            </w:r>
          </w:p>
        </w:tc>
        <w:tc>
          <w:tcPr>
            <w:tcW w:w="3816" w:type="pct"/>
            <w:noWrap w:val="0"/>
            <w:vAlign w:val="top"/>
          </w:tcPr>
          <w:p>
            <w:pPr>
              <w:keepNext w:val="0"/>
              <w:keepLines w:val="0"/>
              <w:widowControl/>
              <w:suppressLineNumbers w:val="0"/>
              <w:jc w:val="both"/>
              <w:textAlignment w:val="top"/>
              <w:rPr>
                <w:rFonts w:hint="eastAsia" w:ascii="宋体" w:hAnsi="宋体" w:eastAsia="宋体" w:cs="宋体"/>
                <w:kern w:val="2"/>
                <w:sz w:val="24"/>
                <w:szCs w:val="24"/>
                <w:lang w:val="en-US" w:eastAsia="zh-CN" w:bidi="ar-SA"/>
              </w:rPr>
            </w:pPr>
            <w:r>
              <w:rPr>
                <w:rFonts w:hint="eastAsia" w:ascii="宋体" w:hAnsi="宋体" w:eastAsia="宋体" w:cs="宋体"/>
                <w:b/>
                <w:bCs/>
                <w:i w:val="0"/>
                <w:iCs w:val="0"/>
                <w:color w:val="000000"/>
                <w:kern w:val="0"/>
                <w:sz w:val="24"/>
                <w:szCs w:val="24"/>
                <w:u w:val="none"/>
                <w:lang w:val="en-US" w:eastAsia="zh-CN" w:bidi="ar"/>
              </w:rPr>
              <w:t>其他要求</w:t>
            </w:r>
          </w:p>
        </w:tc>
        <w:tc>
          <w:tcPr>
            <w:tcW w:w="758" w:type="pct"/>
            <w:noWrap w:val="0"/>
            <w:vAlign w:val="top"/>
          </w:tcPr>
          <w:p>
            <w:pPr>
              <w:jc w:val="center"/>
              <w:rPr>
                <w:rFonts w:hint="eastAsia" w:ascii="宋体" w:hAnsi="宋体" w:eastAsia="宋体" w:cs="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24" w:type="pct"/>
            <w:noWrap w:val="0"/>
            <w:vAlign w:val="top"/>
          </w:tcPr>
          <w:p>
            <w:pPr>
              <w:keepNext w:val="0"/>
              <w:keepLines w:val="0"/>
              <w:widowControl/>
              <w:suppressLineNumbers w:val="0"/>
              <w:jc w:val="both"/>
              <w:textAlignment w:val="top"/>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5.1</w:t>
            </w:r>
          </w:p>
        </w:tc>
        <w:tc>
          <w:tcPr>
            <w:tcW w:w="3816" w:type="pct"/>
            <w:noWrap w:val="0"/>
            <w:vAlign w:val="top"/>
          </w:tcPr>
          <w:p>
            <w:pPr>
              <w:keepNext w:val="0"/>
              <w:keepLines w:val="0"/>
              <w:widowControl/>
              <w:suppressLineNumbers w:val="0"/>
              <w:jc w:val="both"/>
              <w:textAlignment w:val="top"/>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属于医疗器械管理范围的产品必须提供医疗器械注册证及注册登记表</w:t>
            </w:r>
          </w:p>
        </w:tc>
        <w:tc>
          <w:tcPr>
            <w:tcW w:w="758" w:type="pct"/>
            <w:noWrap w:val="0"/>
            <w:vAlign w:val="top"/>
          </w:tcPr>
          <w:p>
            <w:pPr>
              <w:jc w:val="center"/>
              <w:rPr>
                <w:rFonts w:hint="eastAsia" w:ascii="宋体" w:hAnsi="宋体" w:eastAsia="宋体" w:cs="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24" w:type="pct"/>
            <w:noWrap w:val="0"/>
            <w:vAlign w:val="top"/>
          </w:tcPr>
          <w:p>
            <w:pPr>
              <w:keepNext w:val="0"/>
              <w:keepLines w:val="0"/>
              <w:widowControl/>
              <w:suppressLineNumbers w:val="0"/>
              <w:jc w:val="both"/>
              <w:textAlignment w:val="top"/>
              <w:rPr>
                <w:rFonts w:hint="eastAsia" w:ascii="宋体" w:hAnsi="宋体" w:eastAsia="宋体" w:cs="宋体"/>
                <w:b/>
                <w:sz w:val="24"/>
                <w:szCs w:val="24"/>
                <w:lang w:val="en-US" w:eastAsia="zh-CN"/>
              </w:rPr>
            </w:pPr>
            <w:r>
              <w:rPr>
                <w:rFonts w:hint="eastAsia" w:ascii="宋体" w:hAnsi="宋体" w:eastAsia="宋体" w:cs="宋体"/>
                <w:i w:val="0"/>
                <w:iCs w:val="0"/>
                <w:color w:val="000000"/>
                <w:kern w:val="0"/>
                <w:sz w:val="24"/>
                <w:szCs w:val="24"/>
                <w:u w:val="none"/>
                <w:lang w:val="en-US" w:eastAsia="zh-CN" w:bidi="ar"/>
              </w:rPr>
              <w:t>5.2</w:t>
            </w:r>
          </w:p>
        </w:tc>
        <w:tc>
          <w:tcPr>
            <w:tcW w:w="3816" w:type="pct"/>
            <w:noWrap w:val="0"/>
            <w:vAlign w:val="top"/>
          </w:tcPr>
          <w:p>
            <w:pPr>
              <w:keepNext w:val="0"/>
              <w:keepLines w:val="0"/>
              <w:widowControl/>
              <w:suppressLineNumbers w:val="0"/>
              <w:jc w:val="both"/>
              <w:textAlignment w:val="top"/>
              <w:rPr>
                <w:rFonts w:hint="eastAsia" w:ascii="宋体" w:hAnsi="宋体" w:eastAsia="宋体" w:cs="宋体"/>
                <w:b/>
                <w:sz w:val="24"/>
                <w:szCs w:val="24"/>
                <w:lang w:val="en-US" w:eastAsia="zh-CN"/>
              </w:rPr>
            </w:pPr>
            <w:r>
              <w:rPr>
                <w:rFonts w:hint="eastAsia" w:ascii="宋体" w:hAnsi="宋体" w:eastAsia="宋体" w:cs="宋体"/>
                <w:i w:val="0"/>
                <w:iCs w:val="0"/>
                <w:color w:val="000000"/>
                <w:kern w:val="0"/>
                <w:sz w:val="24"/>
                <w:szCs w:val="24"/>
                <w:u w:val="none"/>
                <w:lang w:val="en-US" w:eastAsia="zh-CN" w:bidi="ar"/>
              </w:rPr>
              <w:t>厂家承诺提供设备免费保修期（含消耗品、易损品、维修配件、人工服务等）≥ 3年。提供过保后年保价格</w:t>
            </w:r>
          </w:p>
        </w:tc>
        <w:tc>
          <w:tcPr>
            <w:tcW w:w="758" w:type="pct"/>
            <w:noWrap w:val="0"/>
            <w:vAlign w:val="center"/>
          </w:tcPr>
          <w:p>
            <w:pPr>
              <w:rPr>
                <w:rFonts w:hint="eastAsia" w:ascii="宋体" w:hAnsi="宋体" w:eastAsia="宋体" w:cs="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24" w:type="pct"/>
            <w:noWrap w:val="0"/>
            <w:vAlign w:val="top"/>
          </w:tcPr>
          <w:p>
            <w:pPr>
              <w:keepNext w:val="0"/>
              <w:keepLines w:val="0"/>
              <w:widowControl/>
              <w:suppressLineNumbers w:val="0"/>
              <w:jc w:val="both"/>
              <w:textAlignment w:val="top"/>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5.3</w:t>
            </w:r>
          </w:p>
        </w:tc>
        <w:tc>
          <w:tcPr>
            <w:tcW w:w="3816" w:type="pct"/>
            <w:noWrap w:val="0"/>
            <w:vAlign w:val="top"/>
          </w:tcPr>
          <w:p>
            <w:pPr>
              <w:keepNext w:val="0"/>
              <w:keepLines w:val="0"/>
              <w:widowControl/>
              <w:suppressLineNumbers w:val="0"/>
              <w:jc w:val="both"/>
              <w:textAlignment w:val="top"/>
              <w:rPr>
                <w:rFonts w:hint="eastAsia" w:ascii="宋体" w:hAnsi="宋体" w:eastAsia="宋体" w:cs="宋体"/>
                <w:b/>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操作手册、维修手册：提供操作手册、维修手册各一套</w:t>
            </w:r>
          </w:p>
        </w:tc>
        <w:tc>
          <w:tcPr>
            <w:tcW w:w="758" w:type="pct"/>
            <w:noWrap w:val="0"/>
            <w:vAlign w:val="top"/>
          </w:tcPr>
          <w:p>
            <w:pPr>
              <w:jc w:val="center"/>
              <w:rPr>
                <w:rFonts w:hint="eastAsia" w:ascii="宋体" w:hAnsi="宋体" w:eastAsia="宋体" w:cs="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24" w:type="pct"/>
            <w:noWrap w:val="0"/>
            <w:vAlign w:val="top"/>
          </w:tcPr>
          <w:p>
            <w:pPr>
              <w:keepNext w:val="0"/>
              <w:keepLines w:val="0"/>
              <w:widowControl/>
              <w:suppressLineNumbers w:val="0"/>
              <w:jc w:val="both"/>
              <w:textAlignment w:val="top"/>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5.4</w:t>
            </w:r>
          </w:p>
        </w:tc>
        <w:tc>
          <w:tcPr>
            <w:tcW w:w="3816" w:type="pct"/>
            <w:noWrap w:val="0"/>
            <w:vAlign w:val="top"/>
          </w:tcPr>
          <w:p>
            <w:pPr>
              <w:keepNext w:val="0"/>
              <w:keepLines w:val="0"/>
              <w:widowControl/>
              <w:suppressLineNumbers w:val="0"/>
              <w:jc w:val="both"/>
              <w:textAlignment w:val="top"/>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培训：提供临床应用操作培训,并提供临床资料(培训ppt、考核试题)</w:t>
            </w:r>
          </w:p>
        </w:tc>
        <w:tc>
          <w:tcPr>
            <w:tcW w:w="758" w:type="pct"/>
            <w:noWrap w:val="0"/>
            <w:vAlign w:val="top"/>
          </w:tcPr>
          <w:p>
            <w:pPr>
              <w:jc w:val="center"/>
              <w:rPr>
                <w:rFonts w:hint="eastAsia" w:ascii="宋体" w:hAnsi="宋体" w:eastAsia="宋体" w:cs="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24" w:type="pct"/>
            <w:noWrap w:val="0"/>
            <w:vAlign w:val="top"/>
          </w:tcPr>
          <w:p>
            <w:pPr>
              <w:keepNext w:val="0"/>
              <w:keepLines w:val="0"/>
              <w:widowControl/>
              <w:suppressLineNumbers w:val="0"/>
              <w:jc w:val="both"/>
              <w:textAlignment w:val="top"/>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5.5</w:t>
            </w:r>
          </w:p>
        </w:tc>
        <w:tc>
          <w:tcPr>
            <w:tcW w:w="3816" w:type="pct"/>
            <w:noWrap w:val="0"/>
            <w:vAlign w:val="top"/>
          </w:tcPr>
          <w:p>
            <w:pPr>
              <w:keepNext w:val="0"/>
              <w:keepLines w:val="0"/>
              <w:widowControl/>
              <w:suppressLineNumbers w:val="0"/>
              <w:jc w:val="both"/>
              <w:textAlignment w:val="top"/>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软件终身免费升级</w:t>
            </w:r>
          </w:p>
        </w:tc>
        <w:tc>
          <w:tcPr>
            <w:tcW w:w="758" w:type="pct"/>
            <w:noWrap w:val="0"/>
            <w:vAlign w:val="top"/>
          </w:tcPr>
          <w:p>
            <w:pPr>
              <w:jc w:val="center"/>
              <w:rPr>
                <w:rFonts w:hint="eastAsia" w:ascii="宋体" w:hAnsi="宋体" w:eastAsia="宋体" w:cs="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24" w:type="pct"/>
            <w:noWrap w:val="0"/>
            <w:vAlign w:val="top"/>
          </w:tcPr>
          <w:p>
            <w:pPr>
              <w:keepNext w:val="0"/>
              <w:keepLines w:val="0"/>
              <w:widowControl/>
              <w:suppressLineNumbers w:val="0"/>
              <w:jc w:val="both"/>
              <w:textAlignment w:val="top"/>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5.6</w:t>
            </w:r>
          </w:p>
        </w:tc>
        <w:tc>
          <w:tcPr>
            <w:tcW w:w="3816" w:type="pct"/>
            <w:noWrap w:val="0"/>
            <w:vAlign w:val="top"/>
          </w:tcPr>
          <w:p>
            <w:pPr>
              <w:keepNext w:val="0"/>
              <w:keepLines w:val="0"/>
              <w:widowControl/>
              <w:suppressLineNumbers w:val="0"/>
              <w:jc w:val="both"/>
              <w:textAlignment w:val="top"/>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付款方式:验收合格后90工作日内付款，投标商开具单张发票限额必须大于投标单台设备价格</w:t>
            </w:r>
          </w:p>
        </w:tc>
        <w:tc>
          <w:tcPr>
            <w:tcW w:w="758" w:type="pct"/>
            <w:noWrap w:val="0"/>
            <w:vAlign w:val="top"/>
          </w:tcPr>
          <w:p>
            <w:pPr>
              <w:jc w:val="center"/>
              <w:rPr>
                <w:rFonts w:hint="eastAsia" w:ascii="宋体" w:hAnsi="宋体" w:eastAsia="宋体" w:cs="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24" w:type="pct"/>
            <w:noWrap w:val="0"/>
            <w:vAlign w:val="top"/>
          </w:tcPr>
          <w:p>
            <w:pPr>
              <w:keepNext w:val="0"/>
              <w:keepLines w:val="0"/>
              <w:widowControl/>
              <w:suppressLineNumbers w:val="0"/>
              <w:jc w:val="both"/>
              <w:textAlignment w:val="top"/>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5.7</w:t>
            </w:r>
          </w:p>
        </w:tc>
        <w:tc>
          <w:tcPr>
            <w:tcW w:w="3816" w:type="pct"/>
            <w:noWrap w:val="0"/>
            <w:vAlign w:val="top"/>
          </w:tcPr>
          <w:p>
            <w:pPr>
              <w:keepNext w:val="0"/>
              <w:keepLines w:val="0"/>
              <w:widowControl/>
              <w:suppressLineNumbers w:val="0"/>
              <w:jc w:val="both"/>
              <w:textAlignment w:val="top"/>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投标商提供的设备必须在距投标当日10个月内生产</w:t>
            </w:r>
          </w:p>
        </w:tc>
        <w:tc>
          <w:tcPr>
            <w:tcW w:w="758" w:type="pct"/>
            <w:noWrap w:val="0"/>
            <w:vAlign w:val="top"/>
          </w:tcPr>
          <w:p>
            <w:pPr>
              <w:jc w:val="center"/>
              <w:rPr>
                <w:rFonts w:hint="eastAsia" w:ascii="宋体" w:hAnsi="宋体" w:eastAsia="宋体" w:cs="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24" w:type="pct"/>
            <w:noWrap w:val="0"/>
            <w:vAlign w:val="top"/>
          </w:tcPr>
          <w:p>
            <w:pPr>
              <w:keepNext w:val="0"/>
              <w:keepLines w:val="0"/>
              <w:widowControl/>
              <w:suppressLineNumbers w:val="0"/>
              <w:jc w:val="both"/>
              <w:textAlignment w:val="top"/>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5.8</w:t>
            </w:r>
          </w:p>
        </w:tc>
        <w:tc>
          <w:tcPr>
            <w:tcW w:w="3816" w:type="pct"/>
            <w:noWrap w:val="0"/>
            <w:vAlign w:val="top"/>
          </w:tcPr>
          <w:p>
            <w:pPr>
              <w:keepNext w:val="0"/>
              <w:keepLines w:val="0"/>
              <w:widowControl/>
              <w:suppressLineNumbers w:val="0"/>
              <w:jc w:val="left"/>
              <w:textAlignment w:val="top"/>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其它优惠条款</w:t>
            </w:r>
          </w:p>
        </w:tc>
        <w:tc>
          <w:tcPr>
            <w:tcW w:w="758" w:type="pct"/>
            <w:noWrap w:val="0"/>
            <w:vAlign w:val="top"/>
          </w:tcPr>
          <w:p>
            <w:pPr>
              <w:jc w:val="center"/>
              <w:rPr>
                <w:rFonts w:hint="eastAsia" w:ascii="宋体" w:hAnsi="宋体" w:eastAsia="宋体" w:cs="宋体"/>
                <w:kern w:val="0"/>
                <w:sz w:val="24"/>
                <w:szCs w:val="24"/>
              </w:rPr>
            </w:pPr>
          </w:p>
        </w:tc>
      </w:tr>
    </w:tbl>
    <w:p>
      <w:pPr>
        <w:snapToGrid w:val="0"/>
        <w:spacing w:line="360" w:lineRule="auto"/>
        <w:ind w:firstLine="470" w:firstLineChars="196"/>
        <w:jc w:val="left"/>
        <w:rPr>
          <w:rFonts w:hint="eastAsia" w:asciiTheme="minorEastAsia" w:hAnsiTheme="minorEastAsia" w:eastAsiaTheme="minorEastAsia" w:cstheme="minorEastAsia"/>
          <w:sz w:val="24"/>
          <w:szCs w:val="24"/>
        </w:rPr>
      </w:pPr>
    </w:p>
    <w:p>
      <w:pPr>
        <w:snapToGrid w:val="0"/>
        <w:spacing w:line="360" w:lineRule="auto"/>
        <w:ind w:firstLine="470" w:firstLineChars="196"/>
        <w:jc w:val="left"/>
        <w:rPr>
          <w:rFonts w:hint="eastAsia" w:asciiTheme="minorEastAsia" w:hAnsiTheme="minorEastAsia" w:eastAsiaTheme="minorEastAsia" w:cstheme="minorEastAsia"/>
          <w:sz w:val="24"/>
          <w:szCs w:val="24"/>
        </w:rPr>
      </w:pPr>
    </w:p>
    <w:p>
      <w:pPr>
        <w:pStyle w:val="8"/>
        <w:keepNext w:val="0"/>
        <w:keepLines w:val="0"/>
        <w:widowControl/>
        <w:numPr>
          <w:ilvl w:val="0"/>
          <w:numId w:val="1"/>
        </w:numPr>
        <w:suppressLineNumbers w:val="0"/>
        <w:spacing w:before="255" w:beforeAutospacing="0" w:after="255" w:afterAutospacing="0" w:line="300" w:lineRule="atLeast"/>
        <w:ind w:left="0" w:leftChars="0" w:right="0" w:firstLine="0" w:firstLineChars="0"/>
        <w:jc w:val="both"/>
        <w:rPr>
          <w:rStyle w:val="13"/>
          <w:rFonts w:hint="eastAsia" w:asciiTheme="minorEastAsia" w:hAnsiTheme="minorEastAsia" w:eastAsiaTheme="minorEastAsia" w:cstheme="minorEastAsia"/>
          <w:b/>
          <w:bCs/>
          <w:kern w:val="2"/>
          <w:sz w:val="32"/>
          <w:szCs w:val="32"/>
          <w:lang w:val="en-US" w:eastAsia="zh-CN" w:bidi="ar-SA"/>
        </w:rPr>
      </w:pPr>
      <w:r>
        <w:rPr>
          <w:rStyle w:val="13"/>
          <w:rFonts w:hint="eastAsia" w:asciiTheme="minorEastAsia" w:hAnsiTheme="minorEastAsia" w:eastAsiaTheme="minorEastAsia" w:cstheme="minorEastAsia"/>
          <w:b/>
          <w:bCs/>
          <w:kern w:val="2"/>
          <w:sz w:val="32"/>
          <w:szCs w:val="32"/>
          <w:lang w:val="en-US" w:eastAsia="zh-CN" w:bidi="ar-SA"/>
        </w:rPr>
        <w:t>评分细则</w:t>
      </w:r>
    </w:p>
    <w:p>
      <w:pPr>
        <w:spacing w:line="360" w:lineRule="auto"/>
        <w:ind w:firstLine="457" w:firstLineChars="196"/>
        <w:rPr>
          <w:rStyle w:val="13"/>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bCs/>
          <w:spacing w:val="-4"/>
          <w:sz w:val="24"/>
          <w:szCs w:val="24"/>
        </w:rPr>
        <w:t>1、商务技术分（0-65分）</w:t>
      </w:r>
    </w:p>
    <w:tbl>
      <w:tblPr>
        <w:tblStyle w:val="10"/>
        <w:tblW w:w="9369"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
      <w:tblGrid>
        <w:gridCol w:w="788"/>
        <w:gridCol w:w="2639"/>
        <w:gridCol w:w="997"/>
        <w:gridCol w:w="494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jc w:val="center"/>
        </w:trPr>
        <w:tc>
          <w:tcPr>
            <w:tcW w:w="788"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序号</w:t>
            </w:r>
          </w:p>
        </w:tc>
        <w:tc>
          <w:tcPr>
            <w:tcW w:w="2639"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评定项目</w:t>
            </w:r>
          </w:p>
        </w:tc>
        <w:tc>
          <w:tcPr>
            <w:tcW w:w="997"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分值</w:t>
            </w:r>
          </w:p>
        </w:tc>
        <w:tc>
          <w:tcPr>
            <w:tcW w:w="4945" w:type="dxa"/>
            <w:noWrap w:val="0"/>
            <w:vAlign w:val="center"/>
          </w:tcPr>
          <w:p>
            <w:pPr>
              <w:ind w:left="105" w:leftChars="50" w:right="10" w:rightChars="5"/>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评分细则</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jc w:val="center"/>
        </w:trPr>
        <w:tc>
          <w:tcPr>
            <w:tcW w:w="788"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639" w:type="dxa"/>
            <w:noWrap w:val="0"/>
            <w:vAlign w:val="center"/>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对应于招标文件设备技术规格及配置的偏离度</w:t>
            </w:r>
          </w:p>
        </w:tc>
        <w:tc>
          <w:tcPr>
            <w:tcW w:w="997"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35</w:t>
            </w:r>
          </w:p>
        </w:tc>
        <w:tc>
          <w:tcPr>
            <w:tcW w:w="4945" w:type="dxa"/>
            <w:noWrap w:val="0"/>
            <w:vAlign w:val="center"/>
          </w:tcPr>
          <w:p>
            <w:pPr>
              <w:ind w:left="105" w:leftChars="50" w:right="10" w:rightChars="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与招标文件第四部分招标内容及要求的设备技术规格及配置对比，实质性条款除外，标注★的技术指标（或功能）偏离每项扣4分，一般技术指标偏离每项扣1分，一般功能偏离每项扣3分，商务要求偏离每项扣3分。扣完为止。</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jc w:val="center"/>
        </w:trPr>
        <w:tc>
          <w:tcPr>
            <w:tcW w:w="788"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p>
        </w:tc>
        <w:tc>
          <w:tcPr>
            <w:tcW w:w="2639" w:type="dxa"/>
            <w:noWrap w:val="0"/>
            <w:vAlign w:val="center"/>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投标设备配套的合理性</w:t>
            </w:r>
          </w:p>
        </w:tc>
        <w:tc>
          <w:tcPr>
            <w:tcW w:w="997"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4945" w:type="dxa"/>
            <w:noWrap w:val="0"/>
            <w:vAlign w:val="center"/>
          </w:tcPr>
          <w:p>
            <w:pPr>
              <w:ind w:left="105" w:leftChars="50" w:right="10" w:rightChars="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评委对投标设备配套的合理性、功能实现程度进行评价：投标设备配套合理、功能实现程度高的，得3分；配套较合理、功能实现程度较高的，得2分；配套合理性一般、不能完全达到临床要求功能的，得1分。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jc w:val="center"/>
        </w:trPr>
        <w:tc>
          <w:tcPr>
            <w:tcW w:w="788"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2639" w:type="dxa"/>
            <w:noWrap w:val="0"/>
            <w:vAlign w:val="center"/>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投标设备技术指标的先进性</w:t>
            </w:r>
          </w:p>
        </w:tc>
        <w:tc>
          <w:tcPr>
            <w:tcW w:w="997"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4945" w:type="dxa"/>
            <w:noWrap w:val="0"/>
            <w:vAlign w:val="center"/>
          </w:tcPr>
          <w:p>
            <w:pPr>
              <w:ind w:left="105" w:leftChars="50" w:right="10" w:rightChars="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评委对投标设备技术指标的先进性进行评价：技术指标高于招标要求且具有较高临床使用价值的，每项得1分；最高得3分。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jc w:val="center"/>
        </w:trPr>
        <w:tc>
          <w:tcPr>
            <w:tcW w:w="788"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w:t>
            </w:r>
          </w:p>
        </w:tc>
        <w:tc>
          <w:tcPr>
            <w:tcW w:w="2639" w:type="dxa"/>
            <w:noWrap w:val="0"/>
            <w:vAlign w:val="center"/>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投标机型的档次</w:t>
            </w:r>
          </w:p>
        </w:tc>
        <w:tc>
          <w:tcPr>
            <w:tcW w:w="997"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4945" w:type="dxa"/>
            <w:noWrap w:val="0"/>
            <w:vAlign w:val="center"/>
          </w:tcPr>
          <w:p>
            <w:pPr>
              <w:ind w:left="105" w:leftChars="50" w:right="10" w:rightChars="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投标机型在产品系列中属高档产品的，得3分；属中等档次产品的，得2分；属低档产品的，得1分。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jc w:val="center"/>
        </w:trPr>
        <w:tc>
          <w:tcPr>
            <w:tcW w:w="788"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w:t>
            </w:r>
          </w:p>
        </w:tc>
        <w:tc>
          <w:tcPr>
            <w:tcW w:w="2639" w:type="dxa"/>
            <w:noWrap w:val="0"/>
            <w:vAlign w:val="center"/>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运行成本</w:t>
            </w:r>
          </w:p>
        </w:tc>
        <w:tc>
          <w:tcPr>
            <w:tcW w:w="997"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4945" w:type="dxa"/>
            <w:noWrap w:val="0"/>
            <w:vAlign w:val="center"/>
          </w:tcPr>
          <w:p>
            <w:pPr>
              <w:ind w:left="105" w:leftChars="50" w:right="10" w:rightChars="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包括保修价格、售后服务方案、年运行费用和消耗品或易耗品价格等综合运行成本进行评价。</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jc w:val="center"/>
        </w:trPr>
        <w:tc>
          <w:tcPr>
            <w:tcW w:w="788"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w:t>
            </w:r>
          </w:p>
        </w:tc>
        <w:tc>
          <w:tcPr>
            <w:tcW w:w="2639" w:type="dxa"/>
            <w:noWrap w:val="0"/>
            <w:vAlign w:val="center"/>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保修服务</w:t>
            </w:r>
          </w:p>
        </w:tc>
        <w:tc>
          <w:tcPr>
            <w:tcW w:w="997"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4945" w:type="dxa"/>
            <w:noWrap w:val="0"/>
            <w:vAlign w:val="center"/>
          </w:tcPr>
          <w:p>
            <w:pPr>
              <w:ind w:left="105" w:leftChars="50" w:right="10" w:rightChars="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设备保修期超过招标文件要求的，每增加1年加1分，增加部分不足1年的不计分。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jc w:val="center"/>
        </w:trPr>
        <w:tc>
          <w:tcPr>
            <w:tcW w:w="788"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w:t>
            </w:r>
          </w:p>
        </w:tc>
        <w:tc>
          <w:tcPr>
            <w:tcW w:w="2639" w:type="dxa"/>
            <w:noWrap w:val="0"/>
            <w:vAlign w:val="center"/>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投标产品总体质量性能</w:t>
            </w:r>
          </w:p>
        </w:tc>
        <w:tc>
          <w:tcPr>
            <w:tcW w:w="997"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w:t>
            </w:r>
          </w:p>
        </w:tc>
        <w:tc>
          <w:tcPr>
            <w:tcW w:w="4945" w:type="dxa"/>
            <w:noWrap w:val="0"/>
            <w:vAlign w:val="center"/>
          </w:tcPr>
          <w:p>
            <w:pPr>
              <w:ind w:left="105" w:leftChars="50" w:right="10" w:rightChars="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投标产品在临床上的使用情况、稳定性、故障率等总体质量性能综合评价。</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jc w:val="center"/>
        </w:trPr>
        <w:tc>
          <w:tcPr>
            <w:tcW w:w="788"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w:t>
            </w:r>
          </w:p>
        </w:tc>
        <w:tc>
          <w:tcPr>
            <w:tcW w:w="2639" w:type="dxa"/>
            <w:noWrap w:val="0"/>
            <w:vAlign w:val="center"/>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市场占有率</w:t>
            </w:r>
          </w:p>
        </w:tc>
        <w:tc>
          <w:tcPr>
            <w:tcW w:w="997"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w:t>
            </w:r>
          </w:p>
        </w:tc>
        <w:tc>
          <w:tcPr>
            <w:tcW w:w="4945" w:type="dxa"/>
            <w:noWrap w:val="0"/>
            <w:vAlign w:val="center"/>
          </w:tcPr>
          <w:p>
            <w:pPr>
              <w:ind w:left="105" w:leftChars="50" w:right="10" w:rightChars="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提供20</w:t>
            </w:r>
            <w:r>
              <w:rPr>
                <w:rFonts w:hint="eastAsia" w:asciiTheme="minorEastAsia" w:hAnsiTheme="minorEastAsia" w:eastAsiaTheme="minorEastAsia" w:cstheme="minorEastAsia"/>
                <w:sz w:val="24"/>
                <w:szCs w:val="24"/>
                <w:lang w:val="en-US" w:eastAsia="zh-CN"/>
              </w:rPr>
              <w:t>18</w:t>
            </w:r>
            <w:r>
              <w:rPr>
                <w:rFonts w:hint="eastAsia" w:asciiTheme="minorEastAsia" w:hAnsiTheme="minorEastAsia" w:eastAsiaTheme="minorEastAsia" w:cstheme="minorEastAsia"/>
                <w:sz w:val="24"/>
                <w:szCs w:val="24"/>
              </w:rPr>
              <w:t>年1月1日起至今与最终用户签订的投标机型合同复印件，每份有效合同得0.5分，最多5分。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jc w:val="center"/>
        </w:trPr>
        <w:tc>
          <w:tcPr>
            <w:tcW w:w="788"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w:t>
            </w:r>
          </w:p>
        </w:tc>
        <w:tc>
          <w:tcPr>
            <w:tcW w:w="2639" w:type="dxa"/>
            <w:noWrap w:val="0"/>
            <w:vAlign w:val="center"/>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制造商或代理商的售后服务和维修能力</w:t>
            </w:r>
          </w:p>
        </w:tc>
        <w:tc>
          <w:tcPr>
            <w:tcW w:w="997"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p>
        </w:tc>
        <w:tc>
          <w:tcPr>
            <w:tcW w:w="4945" w:type="dxa"/>
            <w:noWrap w:val="0"/>
            <w:vAlign w:val="center"/>
          </w:tcPr>
          <w:p>
            <w:pPr>
              <w:ind w:left="105" w:leftChars="50" w:right="10" w:rightChars="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制造商或代理商的售后服务和维修能力，服务响应速度、服务人员水平、备品备件配置等综合评价。</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jc w:val="center"/>
        </w:trPr>
        <w:tc>
          <w:tcPr>
            <w:tcW w:w="788"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w:t>
            </w:r>
          </w:p>
        </w:tc>
        <w:tc>
          <w:tcPr>
            <w:tcW w:w="2639" w:type="dxa"/>
            <w:noWrap w:val="0"/>
            <w:vAlign w:val="center"/>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投标人提供的超出招标文件的优惠条件</w:t>
            </w:r>
          </w:p>
        </w:tc>
        <w:tc>
          <w:tcPr>
            <w:tcW w:w="997"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p>
        </w:tc>
        <w:tc>
          <w:tcPr>
            <w:tcW w:w="4945" w:type="dxa"/>
            <w:noWrap w:val="0"/>
            <w:vAlign w:val="center"/>
          </w:tcPr>
          <w:p>
            <w:pPr>
              <w:ind w:left="105" w:leftChars="50" w:right="10" w:rightChars="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评委对投标文件中是否有超出招标文件的优惠条件进行评议，没有实质性优惠条件得0分；有优惠条件的，根据优惠内容市场价值及实用性大小评分。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70" w:hRule="atLeast"/>
          <w:jc w:val="center"/>
        </w:trPr>
        <w:tc>
          <w:tcPr>
            <w:tcW w:w="788"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w:t>
            </w:r>
          </w:p>
        </w:tc>
        <w:tc>
          <w:tcPr>
            <w:tcW w:w="2639" w:type="dxa"/>
            <w:noWrap w:val="0"/>
            <w:vAlign w:val="center"/>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环境标志产品、节能产品评审</w:t>
            </w:r>
          </w:p>
        </w:tc>
        <w:tc>
          <w:tcPr>
            <w:tcW w:w="997"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p>
        </w:tc>
        <w:tc>
          <w:tcPr>
            <w:tcW w:w="4945" w:type="dxa"/>
            <w:noWrap w:val="0"/>
            <w:vAlign w:val="center"/>
          </w:tcPr>
          <w:p>
            <w:pPr>
              <w:ind w:left="105" w:leftChars="50" w:right="10" w:rightChars="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投标产品列入财政部、发展改革委发布的节能产品品目清单的，提供国家市场监督管理总局公布的《参与实施政府采购节能产品认证机构名录》内的认证机构出具的、处于有效期之内的节能标志产品认证证书的，得1分。</w:t>
            </w:r>
          </w:p>
          <w:p>
            <w:pPr>
              <w:ind w:left="105" w:leftChars="50" w:right="10" w:rightChars="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投标产品列入财政部、生态环境部发布的环境标志产品品目清单的，提供国家市场监督管理总局公布的《参与实施政府采购环境标志产品认证机构名录》内的认证机构出具的、处于有效期之内的环境标志产品认证证书，得1分。</w:t>
            </w:r>
          </w:p>
        </w:tc>
      </w:tr>
    </w:tbl>
    <w:p>
      <w:pPr>
        <w:spacing w:before="120" w:beforeLines="50" w:after="120" w:afterLines="50"/>
        <w:ind w:firstLine="457" w:firstLineChars="196"/>
        <w:jc w:val="both"/>
        <w:rPr>
          <w:rFonts w:hint="eastAsia" w:asciiTheme="minorEastAsia" w:hAnsiTheme="minorEastAsia" w:eastAsiaTheme="minorEastAsia" w:cstheme="minorEastAsia"/>
          <w:b/>
          <w:bCs/>
          <w:spacing w:val="-4"/>
          <w:sz w:val="24"/>
          <w:szCs w:val="24"/>
        </w:rPr>
      </w:pPr>
      <w:r>
        <w:rPr>
          <w:rFonts w:hint="eastAsia" w:asciiTheme="minorEastAsia" w:hAnsiTheme="minorEastAsia" w:eastAsiaTheme="minorEastAsia" w:cstheme="minorEastAsia"/>
          <w:b/>
          <w:spacing w:val="-4"/>
          <w:sz w:val="24"/>
          <w:szCs w:val="24"/>
        </w:rPr>
        <w:t>2、</w:t>
      </w:r>
      <w:r>
        <w:rPr>
          <w:rFonts w:hint="eastAsia" w:asciiTheme="minorEastAsia" w:hAnsiTheme="minorEastAsia" w:eastAsiaTheme="minorEastAsia" w:cstheme="minorEastAsia"/>
          <w:b/>
          <w:bCs/>
          <w:spacing w:val="-4"/>
          <w:sz w:val="24"/>
          <w:szCs w:val="24"/>
        </w:rPr>
        <w:t>价格分（0-35分）</w:t>
      </w:r>
    </w:p>
    <w:p>
      <w:pPr>
        <w:pStyle w:val="8"/>
        <w:keepNext w:val="0"/>
        <w:keepLines w:val="0"/>
        <w:widowControl/>
        <w:numPr>
          <w:ilvl w:val="0"/>
          <w:numId w:val="1"/>
        </w:numPr>
        <w:suppressLineNumbers w:val="0"/>
        <w:spacing w:before="255" w:beforeAutospacing="0" w:after="255" w:afterAutospacing="0" w:line="300" w:lineRule="atLeast"/>
        <w:ind w:left="0" w:leftChars="0" w:right="0" w:firstLine="0" w:firstLineChars="0"/>
        <w:jc w:val="both"/>
        <w:rPr>
          <w:rFonts w:hint="eastAsia" w:asciiTheme="minorEastAsia" w:hAnsiTheme="minorEastAsia" w:eastAsiaTheme="minorEastAsia" w:cstheme="minorEastAsia"/>
          <w:bCs/>
          <w:spacing w:val="-4"/>
          <w:sz w:val="24"/>
          <w:szCs w:val="24"/>
        </w:rPr>
      </w:pPr>
      <w:r>
        <w:rPr>
          <w:rFonts w:hint="eastAsia" w:asciiTheme="minorEastAsia" w:hAnsiTheme="minorEastAsia" w:eastAsiaTheme="minorEastAsia" w:cstheme="minorEastAsia"/>
          <w:bCs/>
          <w:spacing w:val="-4"/>
          <w:sz w:val="24"/>
          <w:szCs w:val="24"/>
        </w:rPr>
        <w:t>价格分采用低价优先法计算，即满足招标文件要求且投标报价最低的投标报价为评标基准价，其得分为满分35分。其他投标人的价格分按照下列公式计算：</w:t>
      </w:r>
    </w:p>
    <w:p>
      <w:pPr>
        <w:spacing w:before="120" w:beforeLines="50" w:after="120" w:afterLines="50"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价格分=（评标基准价/</w:t>
      </w:r>
      <w:r>
        <w:rPr>
          <w:rFonts w:hint="eastAsia" w:asciiTheme="minorEastAsia" w:hAnsiTheme="minorEastAsia" w:eastAsiaTheme="minorEastAsia" w:cstheme="minorEastAsia"/>
          <w:bCs/>
          <w:spacing w:val="-4"/>
          <w:sz w:val="24"/>
          <w:szCs w:val="24"/>
        </w:rPr>
        <w:t>投标报价</w:t>
      </w:r>
      <w:r>
        <w:rPr>
          <w:rFonts w:hint="eastAsia" w:asciiTheme="minorEastAsia" w:hAnsiTheme="minorEastAsia" w:eastAsiaTheme="minorEastAsia" w:cstheme="minorEastAsia"/>
          <w:sz w:val="24"/>
          <w:szCs w:val="24"/>
        </w:rPr>
        <w:t>）×35%×100</w:t>
      </w:r>
    </w:p>
    <w:p>
      <w:pPr>
        <w:numPr>
          <w:ilvl w:val="0"/>
          <w:numId w:val="2"/>
        </w:numPr>
        <w:ind w:firstLine="482" w:firstLineChars="200"/>
        <w:jc w:val="left"/>
        <w:rPr>
          <w:sz w:val="24"/>
        </w:rPr>
      </w:pPr>
      <w:r>
        <w:rPr>
          <w:rFonts w:hint="eastAsia" w:asciiTheme="minorEastAsia" w:hAnsiTheme="minorEastAsia" w:eastAsiaTheme="minorEastAsia" w:cstheme="minorEastAsia"/>
          <w:b/>
          <w:bCs w:val="0"/>
          <w:sz w:val="24"/>
          <w:szCs w:val="24"/>
          <w:lang w:val="en-US" w:eastAsia="zh-CN"/>
        </w:rPr>
        <w:t>总分：</w:t>
      </w:r>
      <w:r>
        <w:rPr>
          <w:rFonts w:hint="eastAsia" w:asciiTheme="minorEastAsia" w:hAnsiTheme="minorEastAsia" w:eastAsiaTheme="minorEastAsia" w:cstheme="minorEastAsia"/>
          <w:sz w:val="24"/>
          <w:szCs w:val="24"/>
        </w:rPr>
        <w:t>投标人的综合得分为以上商务技术分及价格分之和</w:t>
      </w:r>
      <w:r>
        <w:rPr>
          <w:sz w:val="24"/>
        </w:rPr>
        <w:t>。</w:t>
      </w:r>
    </w:p>
    <w:p>
      <w:pPr>
        <w:widowControl w:val="0"/>
        <w:numPr>
          <w:ilvl w:val="0"/>
          <w:numId w:val="0"/>
        </w:numPr>
        <w:jc w:val="left"/>
        <w:rPr>
          <w:sz w:val="24"/>
        </w:rPr>
      </w:pPr>
    </w:p>
    <w:p>
      <w:pPr>
        <w:widowControl w:val="0"/>
        <w:numPr>
          <w:ilvl w:val="0"/>
          <w:numId w:val="0"/>
        </w:numPr>
        <w:jc w:val="left"/>
        <w:rPr>
          <w:sz w:val="24"/>
        </w:rPr>
      </w:pPr>
    </w:p>
    <w:p>
      <w:pPr>
        <w:widowControl w:val="0"/>
        <w:numPr>
          <w:ilvl w:val="0"/>
          <w:numId w:val="0"/>
        </w:numPr>
        <w:jc w:val="left"/>
        <w:rPr>
          <w:sz w:val="24"/>
        </w:rPr>
      </w:pPr>
    </w:p>
    <w:p>
      <w:pPr>
        <w:widowControl w:val="0"/>
        <w:numPr>
          <w:ilvl w:val="0"/>
          <w:numId w:val="0"/>
        </w:numPr>
        <w:jc w:val="left"/>
        <w:rPr>
          <w:sz w:val="24"/>
        </w:rPr>
      </w:pPr>
    </w:p>
    <w:p>
      <w:pPr>
        <w:widowControl w:val="0"/>
        <w:numPr>
          <w:ilvl w:val="0"/>
          <w:numId w:val="0"/>
        </w:numPr>
        <w:jc w:val="left"/>
        <w:rPr>
          <w:sz w:val="24"/>
        </w:rPr>
      </w:pPr>
    </w:p>
    <w:p>
      <w:pPr>
        <w:widowControl w:val="0"/>
        <w:numPr>
          <w:ilvl w:val="0"/>
          <w:numId w:val="0"/>
        </w:numPr>
        <w:jc w:val="left"/>
        <w:rPr>
          <w:sz w:val="24"/>
        </w:rPr>
      </w:pPr>
    </w:p>
    <w:p>
      <w:pPr>
        <w:widowControl w:val="0"/>
        <w:numPr>
          <w:ilvl w:val="0"/>
          <w:numId w:val="0"/>
        </w:numPr>
        <w:jc w:val="left"/>
        <w:rPr>
          <w:sz w:val="24"/>
        </w:rPr>
      </w:pPr>
    </w:p>
    <w:p>
      <w:pPr>
        <w:widowControl w:val="0"/>
        <w:numPr>
          <w:ilvl w:val="0"/>
          <w:numId w:val="0"/>
        </w:numPr>
        <w:jc w:val="left"/>
        <w:rPr>
          <w:sz w:val="24"/>
        </w:rPr>
      </w:pPr>
    </w:p>
    <w:p>
      <w:pPr>
        <w:widowControl w:val="0"/>
        <w:numPr>
          <w:ilvl w:val="0"/>
          <w:numId w:val="0"/>
        </w:numPr>
        <w:jc w:val="left"/>
        <w:rPr>
          <w:sz w:val="24"/>
        </w:rPr>
      </w:pPr>
    </w:p>
    <w:p>
      <w:pPr>
        <w:widowControl w:val="0"/>
        <w:numPr>
          <w:ilvl w:val="0"/>
          <w:numId w:val="0"/>
        </w:numPr>
        <w:jc w:val="left"/>
        <w:rPr>
          <w:sz w:val="24"/>
        </w:rPr>
      </w:pPr>
    </w:p>
    <w:p>
      <w:pPr>
        <w:numPr>
          <w:ilvl w:val="0"/>
          <w:numId w:val="0"/>
        </w:numPr>
        <w:jc w:val="left"/>
        <w:rPr>
          <w:rFonts w:hint="eastAsia"/>
          <w:b/>
          <w:bCs/>
          <w:sz w:val="24"/>
          <w:lang w:val="en-US" w:eastAsia="zh-CN"/>
        </w:rPr>
      </w:pPr>
    </w:p>
    <w:p>
      <w:pPr>
        <w:pStyle w:val="8"/>
        <w:keepNext w:val="0"/>
        <w:keepLines w:val="0"/>
        <w:widowControl/>
        <w:numPr>
          <w:ilvl w:val="0"/>
          <w:numId w:val="0"/>
        </w:numPr>
        <w:suppressLineNumbers w:val="0"/>
        <w:spacing w:before="255" w:beforeAutospacing="0" w:after="255" w:afterAutospacing="0" w:line="300" w:lineRule="atLeast"/>
        <w:ind w:leftChars="0" w:right="0" w:rightChars="0"/>
        <w:jc w:val="both"/>
        <w:rPr>
          <w:rStyle w:val="13"/>
          <w:rFonts w:hint="default" w:eastAsia="宋体" w:asciiTheme="minorEastAsia" w:hAnsiTheme="minorEastAsia" w:cstheme="minorEastAsia"/>
          <w:b/>
          <w:bCs/>
          <w:kern w:val="2"/>
          <w:sz w:val="32"/>
          <w:szCs w:val="32"/>
          <w:lang w:val="en-US" w:eastAsia="zh-CN" w:bidi="ar-SA"/>
        </w:rPr>
      </w:pPr>
      <w:r>
        <w:rPr>
          <w:rStyle w:val="13"/>
          <w:rFonts w:hint="eastAsia" w:eastAsia="宋体" w:asciiTheme="minorEastAsia" w:hAnsiTheme="minorEastAsia" w:cstheme="minorEastAsia"/>
          <w:b/>
          <w:bCs/>
          <w:kern w:val="2"/>
          <w:sz w:val="32"/>
          <w:szCs w:val="32"/>
          <w:lang w:val="en-US" w:eastAsia="zh-CN" w:bidi="ar-SA"/>
        </w:rPr>
        <w:t>九、我院正式合同版本</w:t>
      </w:r>
    </w:p>
    <w:p>
      <w:pPr>
        <w:pStyle w:val="9"/>
        <w:rPr>
          <w:rFonts w:hint="eastAsia"/>
          <w:sz w:val="30"/>
          <w:szCs w:val="30"/>
        </w:rPr>
      </w:pPr>
    </w:p>
    <w:p>
      <w:pPr>
        <w:pStyle w:val="9"/>
        <w:rPr>
          <w:sz w:val="44"/>
        </w:rPr>
      </w:pPr>
      <w:r>
        <w:rPr>
          <w:rFonts w:hint="eastAsia"/>
          <w:sz w:val="30"/>
          <w:szCs w:val="30"/>
        </w:rPr>
        <w:t>温州市中医院医疗设备采购合同</w:t>
      </w:r>
    </w:p>
    <w:p>
      <w:pPr>
        <w:rPr>
          <w:w w:val="95"/>
        </w:rPr>
      </w:pPr>
      <w:r>
        <w:rPr>
          <w:rFonts w:hint="eastAsia"/>
          <w:w w:val="95"/>
        </w:rPr>
        <w:t xml:space="preserve">                                          </w:t>
      </w:r>
      <w:r>
        <w:rPr>
          <w:rFonts w:hint="eastAsia" w:asciiTheme="minorEastAsia" w:hAnsiTheme="minorEastAsia" w:eastAsiaTheme="minorEastAsia" w:cstheme="minorEastAsia"/>
          <w:color w:val="000000" w:themeColor="text1"/>
          <w:kern w:val="0"/>
          <w:sz w:val="24"/>
          <w:szCs w:val="24"/>
          <w:lang w:val="zh-CN" w:eastAsia="zh-CN" w:bidi="zh-CN"/>
          <w14:textFill>
            <w14:solidFill>
              <w14:schemeClr w14:val="tx1"/>
            </w14:solidFill>
          </w14:textFill>
        </w:rPr>
        <w:t>合同编号：</w:t>
      </w:r>
      <w:r>
        <w:rPr>
          <w:rFonts w:hint="eastAsia"/>
          <w:w w:val="95"/>
        </w:rPr>
        <w:t xml:space="preserve">          </w:t>
      </w:r>
    </w:p>
    <w:p>
      <w:pPr>
        <w:spacing w:before="107" w:line="220" w:lineRule="atLeast"/>
        <w:ind w:left="105"/>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甲方（采购单位）：温州市中医院</w:t>
      </w:r>
    </w:p>
    <w:p>
      <w:pPr>
        <w:spacing w:before="107" w:line="220" w:lineRule="atLeast"/>
        <w:ind w:left="105"/>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 xml:space="preserve">乙方（供应商）： </w:t>
      </w:r>
    </w:p>
    <w:p>
      <w:pPr>
        <w:pStyle w:val="3"/>
        <w:spacing w:before="106"/>
        <w:ind w:left="111" w:right="209" w:firstLine="600" w:firstLineChars="25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sz w:val="24"/>
          <w:szCs w:val="24"/>
        </w:rPr>
        <w:t>根据《中华人民共</w:t>
      </w:r>
      <w:r>
        <w:rPr>
          <w:rFonts w:hint="eastAsia" w:asciiTheme="minorEastAsia" w:hAnsiTheme="minorEastAsia" w:eastAsiaTheme="minorEastAsia" w:cstheme="minorEastAsia"/>
          <w:color w:val="000000" w:themeColor="text1"/>
          <w:sz w:val="24"/>
          <w:szCs w:val="24"/>
          <w14:textFill>
            <w14:solidFill>
              <w14:schemeClr w14:val="tx1"/>
            </w14:solidFill>
          </w14:textFill>
        </w:rPr>
        <w:t>和国政府采购法》、《中华人民共和国民法典》等相关法律法规，以及</w:t>
      </w:r>
      <w:r>
        <w:rPr>
          <w:rFonts w:hint="eastAsia" w:asciiTheme="minorEastAsia" w:hAnsiTheme="minorEastAsia" w:eastAsiaTheme="minorEastAsia" w:cstheme="minorEastAsia"/>
          <w:color w:val="000000" w:themeColor="text1"/>
          <w:sz w:val="24"/>
          <w:szCs w:val="24"/>
          <w:u w:val="single"/>
          <w:lang w:val="en-US"/>
          <w14:textFill>
            <w14:solidFill>
              <w14:schemeClr w14:val="tx1"/>
            </w14:solidFill>
          </w14:textFill>
        </w:rPr>
        <w:t>(招标编号)</w:t>
      </w:r>
      <w:r>
        <w:rPr>
          <w:rFonts w:hint="eastAsia" w:asciiTheme="minorEastAsia" w:hAnsiTheme="minorEastAsia" w:eastAsiaTheme="minorEastAsia" w:cstheme="minorEastAsia"/>
          <w:color w:val="000000" w:themeColor="text1"/>
          <w:w w:val="95"/>
          <w:sz w:val="24"/>
          <w:szCs w:val="24"/>
          <w14:textFill>
            <w14:solidFill>
              <w14:schemeClr w14:val="tx1"/>
            </w14:solidFill>
          </w14:textFill>
        </w:rPr>
        <w:t>项</w:t>
      </w:r>
      <w:r>
        <w:rPr>
          <w:rFonts w:hint="eastAsia" w:asciiTheme="minorEastAsia" w:hAnsiTheme="minorEastAsia" w:eastAsiaTheme="minorEastAsia" w:cstheme="minorEastAsia"/>
          <w:color w:val="000000" w:themeColor="text1"/>
          <w:sz w:val="24"/>
          <w:szCs w:val="24"/>
          <w14:textFill>
            <w14:solidFill>
              <w14:schemeClr w14:val="tx1"/>
            </w14:solidFill>
          </w14:textFill>
        </w:rPr>
        <w:t>目（以下简称“项目”）招标文件、中标供应商投标文件、项目采购协议，或入围承诺书，甲乙双方经协商一致，签署本合同。</w:t>
      </w:r>
    </w:p>
    <w:p>
      <w:pPr>
        <w:pStyle w:val="4"/>
        <w:numPr>
          <w:ilvl w:val="0"/>
          <w:numId w:val="3"/>
        </w:numPr>
        <w:spacing w:before="84" w:after="13"/>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货物内容及合同价格</w:t>
      </w:r>
    </w:p>
    <w:tbl>
      <w:tblPr>
        <w:tblStyle w:val="10"/>
        <w:tblW w:w="8364" w:type="dxa"/>
        <w:tblInd w:w="-8"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134"/>
        <w:gridCol w:w="1418"/>
        <w:gridCol w:w="1559"/>
        <w:gridCol w:w="2126"/>
        <w:gridCol w:w="993"/>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9" w:hRule="atLeast"/>
        </w:trPr>
        <w:tc>
          <w:tcPr>
            <w:tcW w:w="1134" w:type="dxa"/>
            <w:vAlign w:val="center"/>
          </w:tcPr>
          <w:p>
            <w:pPr>
              <w:pStyle w:val="17"/>
              <w:spacing w:before="116"/>
              <w:jc w:val="center"/>
              <w:rPr>
                <w:rFonts w:hint="eastAsia" w:asciiTheme="minorEastAsia" w:hAnsiTheme="minorEastAsia" w:eastAsiaTheme="minorEastAsia" w:cstheme="minorEastAsia"/>
                <w:b/>
                <w:color w:val="000000" w:themeColor="text1"/>
                <w:sz w:val="24"/>
                <w:szCs w:val="24"/>
                <w14:textFill>
                  <w14:solidFill>
                    <w14:schemeClr w14:val="tx1"/>
                  </w14:solidFill>
                </w14:textFill>
              </w:rPr>
            </w:pPr>
            <w:r>
              <w:rPr>
                <w:rFonts w:hint="eastAsia" w:asciiTheme="minorEastAsia" w:hAnsiTheme="minorEastAsia" w:eastAsiaTheme="minorEastAsia" w:cstheme="minorEastAsia"/>
                <w:b/>
                <w:color w:val="000000" w:themeColor="text1"/>
                <w:sz w:val="24"/>
                <w:szCs w:val="24"/>
                <w14:textFill>
                  <w14:solidFill>
                    <w14:schemeClr w14:val="tx1"/>
                  </w14:solidFill>
                </w14:textFill>
              </w:rPr>
              <w:t>货物名称</w:t>
            </w:r>
          </w:p>
        </w:tc>
        <w:tc>
          <w:tcPr>
            <w:tcW w:w="1418" w:type="dxa"/>
            <w:vAlign w:val="center"/>
          </w:tcPr>
          <w:p>
            <w:pPr>
              <w:pStyle w:val="17"/>
              <w:spacing w:before="116"/>
              <w:ind w:right="276"/>
              <w:jc w:val="center"/>
              <w:rPr>
                <w:rFonts w:hint="eastAsia" w:asciiTheme="minorEastAsia" w:hAnsiTheme="minorEastAsia" w:eastAsiaTheme="minorEastAsia" w:cstheme="minorEastAsia"/>
                <w:b/>
                <w:color w:val="000000" w:themeColor="text1"/>
                <w:sz w:val="24"/>
                <w:szCs w:val="24"/>
                <w14:textFill>
                  <w14:solidFill>
                    <w14:schemeClr w14:val="tx1"/>
                  </w14:solidFill>
                </w14:textFill>
              </w:rPr>
            </w:pPr>
            <w:r>
              <w:rPr>
                <w:rFonts w:hint="eastAsia" w:asciiTheme="minorEastAsia" w:hAnsiTheme="minorEastAsia" w:eastAsiaTheme="minorEastAsia" w:cstheme="minorEastAsia"/>
                <w:b/>
                <w:color w:val="000000" w:themeColor="text1"/>
                <w:sz w:val="24"/>
                <w:szCs w:val="24"/>
                <w14:textFill>
                  <w14:solidFill>
                    <w14:schemeClr w14:val="tx1"/>
                  </w14:solidFill>
                </w14:textFill>
              </w:rPr>
              <w:t>品牌</w:t>
            </w:r>
          </w:p>
        </w:tc>
        <w:tc>
          <w:tcPr>
            <w:tcW w:w="1559" w:type="dxa"/>
            <w:vAlign w:val="center"/>
          </w:tcPr>
          <w:p>
            <w:pPr>
              <w:pStyle w:val="17"/>
              <w:spacing w:before="116"/>
              <w:ind w:left="287" w:right="276"/>
              <w:jc w:val="center"/>
              <w:rPr>
                <w:rFonts w:hint="eastAsia" w:asciiTheme="minorEastAsia" w:hAnsiTheme="minorEastAsia" w:eastAsiaTheme="minorEastAsia" w:cstheme="minorEastAsia"/>
                <w:b/>
                <w:color w:val="000000" w:themeColor="text1"/>
                <w:sz w:val="24"/>
                <w:szCs w:val="24"/>
                <w14:textFill>
                  <w14:solidFill>
                    <w14:schemeClr w14:val="tx1"/>
                  </w14:solidFill>
                </w14:textFill>
              </w:rPr>
            </w:pPr>
            <w:r>
              <w:rPr>
                <w:rFonts w:hint="eastAsia" w:asciiTheme="minorEastAsia" w:hAnsiTheme="minorEastAsia" w:eastAsiaTheme="minorEastAsia" w:cstheme="minorEastAsia"/>
                <w:b/>
                <w:color w:val="000000" w:themeColor="text1"/>
                <w:sz w:val="24"/>
                <w:szCs w:val="24"/>
                <w14:textFill>
                  <w14:solidFill>
                    <w14:schemeClr w14:val="tx1"/>
                  </w14:solidFill>
                </w14:textFill>
              </w:rPr>
              <w:t>型号规格</w:t>
            </w:r>
          </w:p>
        </w:tc>
        <w:tc>
          <w:tcPr>
            <w:tcW w:w="2126" w:type="dxa"/>
            <w:vAlign w:val="center"/>
          </w:tcPr>
          <w:p>
            <w:pPr>
              <w:pStyle w:val="17"/>
              <w:spacing w:before="116"/>
              <w:ind w:left="71" w:right="61"/>
              <w:jc w:val="center"/>
              <w:rPr>
                <w:rFonts w:hint="eastAsia" w:asciiTheme="minorEastAsia" w:hAnsiTheme="minorEastAsia" w:eastAsiaTheme="minorEastAsia" w:cstheme="minorEastAsia"/>
                <w:b/>
                <w:color w:val="000000" w:themeColor="text1"/>
                <w:sz w:val="24"/>
                <w:szCs w:val="24"/>
                <w14:textFill>
                  <w14:solidFill>
                    <w14:schemeClr w14:val="tx1"/>
                  </w14:solidFill>
                </w14:textFill>
              </w:rPr>
            </w:pPr>
            <w:r>
              <w:rPr>
                <w:rFonts w:hint="eastAsia" w:asciiTheme="minorEastAsia" w:hAnsiTheme="minorEastAsia" w:eastAsiaTheme="minorEastAsia" w:cstheme="minorEastAsia"/>
                <w:b/>
                <w:color w:val="000000" w:themeColor="text1"/>
                <w:sz w:val="24"/>
                <w:szCs w:val="24"/>
                <w14:textFill>
                  <w14:solidFill>
                    <w14:schemeClr w14:val="tx1"/>
                  </w14:solidFill>
                </w14:textFill>
              </w:rPr>
              <w:t>配置要求</w:t>
            </w:r>
          </w:p>
        </w:tc>
        <w:tc>
          <w:tcPr>
            <w:tcW w:w="993" w:type="dxa"/>
            <w:vAlign w:val="center"/>
          </w:tcPr>
          <w:p>
            <w:pPr>
              <w:pStyle w:val="17"/>
              <w:spacing w:before="116"/>
              <w:ind w:left="71" w:right="61"/>
              <w:jc w:val="center"/>
              <w:rPr>
                <w:rFonts w:hint="eastAsia" w:asciiTheme="minorEastAsia" w:hAnsiTheme="minorEastAsia" w:eastAsiaTheme="minorEastAsia" w:cstheme="minorEastAsia"/>
                <w:b/>
                <w:color w:val="000000" w:themeColor="text1"/>
                <w:sz w:val="24"/>
                <w:szCs w:val="24"/>
                <w14:textFill>
                  <w14:solidFill>
                    <w14:schemeClr w14:val="tx1"/>
                  </w14:solidFill>
                </w14:textFill>
              </w:rPr>
            </w:pPr>
            <w:r>
              <w:rPr>
                <w:rFonts w:hint="eastAsia" w:asciiTheme="minorEastAsia" w:hAnsiTheme="minorEastAsia" w:eastAsiaTheme="minorEastAsia" w:cstheme="minorEastAsia"/>
                <w:b/>
                <w:color w:val="000000" w:themeColor="text1"/>
                <w:sz w:val="24"/>
                <w:szCs w:val="24"/>
                <w14:textFill>
                  <w14:solidFill>
                    <w14:schemeClr w14:val="tx1"/>
                  </w14:solidFill>
                </w14:textFill>
              </w:rPr>
              <w:t>数量</w:t>
            </w:r>
          </w:p>
        </w:tc>
        <w:tc>
          <w:tcPr>
            <w:tcW w:w="1134" w:type="dxa"/>
            <w:vAlign w:val="center"/>
          </w:tcPr>
          <w:p>
            <w:pPr>
              <w:pStyle w:val="17"/>
              <w:spacing w:before="116"/>
              <w:ind w:left="71" w:right="62"/>
              <w:jc w:val="center"/>
              <w:rPr>
                <w:rFonts w:hint="eastAsia" w:asciiTheme="minorEastAsia" w:hAnsiTheme="minorEastAsia" w:eastAsiaTheme="minorEastAsia" w:cstheme="minorEastAsia"/>
                <w:b/>
                <w:color w:val="000000" w:themeColor="text1"/>
                <w:sz w:val="24"/>
                <w:szCs w:val="24"/>
                <w14:textFill>
                  <w14:solidFill>
                    <w14:schemeClr w14:val="tx1"/>
                  </w14:solidFill>
                </w14:textFill>
              </w:rPr>
            </w:pPr>
            <w:r>
              <w:rPr>
                <w:rFonts w:hint="eastAsia" w:asciiTheme="minorEastAsia" w:hAnsiTheme="minorEastAsia" w:eastAsiaTheme="minorEastAsia" w:cstheme="minorEastAsia"/>
                <w:b/>
                <w:color w:val="000000" w:themeColor="text1"/>
                <w:sz w:val="24"/>
                <w:szCs w:val="24"/>
                <w14:textFill>
                  <w14:solidFill>
                    <w14:schemeClr w14:val="tx1"/>
                  </w14:solidFill>
                </w14:textFill>
              </w:rPr>
              <w:t>单价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93" w:hRule="atLeast"/>
        </w:trPr>
        <w:tc>
          <w:tcPr>
            <w:tcW w:w="1134" w:type="dxa"/>
            <w:vAlign w:val="center"/>
          </w:tcPr>
          <w:p>
            <w:pPr>
              <w:pStyle w:val="17"/>
              <w:jc w:val="center"/>
              <w:rPr>
                <w:rFonts w:hint="eastAsia" w:asciiTheme="minorEastAsia" w:hAnsiTheme="minorEastAsia" w:eastAsiaTheme="minorEastAsia" w:cstheme="minorEastAsia"/>
                <w:b/>
                <w:color w:val="000000" w:themeColor="text1"/>
                <w:sz w:val="24"/>
                <w:szCs w:val="24"/>
                <w:lang w:val="en-US"/>
                <w14:textFill>
                  <w14:solidFill>
                    <w14:schemeClr w14:val="tx1"/>
                  </w14:solidFill>
                </w14:textFill>
              </w:rPr>
            </w:pPr>
          </w:p>
        </w:tc>
        <w:tc>
          <w:tcPr>
            <w:tcW w:w="1418" w:type="dxa"/>
            <w:vAlign w:val="center"/>
          </w:tcPr>
          <w:p>
            <w:pPr>
              <w:pStyle w:val="17"/>
              <w:jc w:val="center"/>
              <w:rPr>
                <w:rFonts w:hint="eastAsia" w:asciiTheme="minorEastAsia" w:hAnsiTheme="minorEastAsia" w:eastAsiaTheme="minorEastAsia" w:cstheme="minorEastAsia"/>
                <w:b/>
                <w:color w:val="000000" w:themeColor="text1"/>
                <w:sz w:val="24"/>
                <w:szCs w:val="24"/>
                <w:lang w:val="en-US"/>
                <w14:textFill>
                  <w14:solidFill>
                    <w14:schemeClr w14:val="tx1"/>
                  </w14:solidFill>
                </w14:textFill>
              </w:rPr>
            </w:pPr>
          </w:p>
        </w:tc>
        <w:tc>
          <w:tcPr>
            <w:tcW w:w="1559" w:type="dxa"/>
            <w:vAlign w:val="center"/>
          </w:tcPr>
          <w:p>
            <w:pPr>
              <w:pStyle w:val="17"/>
              <w:jc w:val="center"/>
              <w:rPr>
                <w:rFonts w:hint="eastAsia" w:asciiTheme="minorEastAsia" w:hAnsiTheme="minorEastAsia" w:eastAsiaTheme="minorEastAsia" w:cstheme="minorEastAsia"/>
                <w:b/>
                <w:color w:val="000000" w:themeColor="text1"/>
                <w:sz w:val="24"/>
                <w:szCs w:val="24"/>
                <w:lang w:val="en-US"/>
                <w14:textFill>
                  <w14:solidFill>
                    <w14:schemeClr w14:val="tx1"/>
                  </w14:solidFill>
                </w14:textFill>
              </w:rPr>
            </w:pPr>
          </w:p>
        </w:tc>
        <w:tc>
          <w:tcPr>
            <w:tcW w:w="2126" w:type="dxa"/>
            <w:vAlign w:val="center"/>
          </w:tcPr>
          <w:p>
            <w:pPr>
              <w:pStyle w:val="17"/>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993" w:type="dxa"/>
            <w:vAlign w:val="center"/>
          </w:tcPr>
          <w:p>
            <w:pPr>
              <w:pStyle w:val="17"/>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134" w:type="dxa"/>
            <w:vAlign w:val="center"/>
          </w:tcPr>
          <w:p>
            <w:pPr>
              <w:pStyle w:val="17"/>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93" w:hRule="atLeast"/>
        </w:trPr>
        <w:tc>
          <w:tcPr>
            <w:tcW w:w="1134" w:type="dxa"/>
            <w:vAlign w:val="center"/>
          </w:tcPr>
          <w:p>
            <w:pPr>
              <w:pStyle w:val="17"/>
              <w:jc w:val="center"/>
              <w:rPr>
                <w:rFonts w:hint="eastAsia" w:asciiTheme="minorEastAsia" w:hAnsiTheme="minorEastAsia" w:eastAsiaTheme="minorEastAsia" w:cstheme="minorEastAsia"/>
                <w:b/>
                <w:color w:val="000000" w:themeColor="text1"/>
                <w:sz w:val="24"/>
                <w:szCs w:val="24"/>
                <w:lang w:val="en-US"/>
                <w14:textFill>
                  <w14:solidFill>
                    <w14:schemeClr w14:val="tx1"/>
                  </w14:solidFill>
                </w14:textFill>
              </w:rPr>
            </w:pPr>
          </w:p>
        </w:tc>
        <w:tc>
          <w:tcPr>
            <w:tcW w:w="1418" w:type="dxa"/>
            <w:vAlign w:val="center"/>
          </w:tcPr>
          <w:p>
            <w:pPr>
              <w:pStyle w:val="17"/>
              <w:jc w:val="center"/>
              <w:rPr>
                <w:rFonts w:hint="eastAsia" w:asciiTheme="minorEastAsia" w:hAnsiTheme="minorEastAsia" w:eastAsiaTheme="minorEastAsia" w:cstheme="minorEastAsia"/>
                <w:b/>
                <w:color w:val="000000" w:themeColor="text1"/>
                <w:sz w:val="24"/>
                <w:szCs w:val="24"/>
                <w:lang w:val="en-US"/>
                <w14:textFill>
                  <w14:solidFill>
                    <w14:schemeClr w14:val="tx1"/>
                  </w14:solidFill>
                </w14:textFill>
              </w:rPr>
            </w:pPr>
          </w:p>
        </w:tc>
        <w:tc>
          <w:tcPr>
            <w:tcW w:w="1559" w:type="dxa"/>
            <w:vAlign w:val="center"/>
          </w:tcPr>
          <w:p>
            <w:pPr>
              <w:pStyle w:val="17"/>
              <w:jc w:val="center"/>
              <w:rPr>
                <w:rFonts w:hint="eastAsia" w:asciiTheme="minorEastAsia" w:hAnsiTheme="minorEastAsia" w:eastAsiaTheme="minorEastAsia" w:cstheme="minorEastAsia"/>
                <w:b/>
                <w:color w:val="000000" w:themeColor="text1"/>
                <w:sz w:val="24"/>
                <w:szCs w:val="24"/>
                <w:lang w:val="en-US"/>
                <w14:textFill>
                  <w14:solidFill>
                    <w14:schemeClr w14:val="tx1"/>
                  </w14:solidFill>
                </w14:textFill>
              </w:rPr>
            </w:pPr>
          </w:p>
        </w:tc>
        <w:tc>
          <w:tcPr>
            <w:tcW w:w="2126" w:type="dxa"/>
            <w:vAlign w:val="center"/>
          </w:tcPr>
          <w:p>
            <w:pPr>
              <w:pStyle w:val="17"/>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993" w:type="dxa"/>
            <w:vAlign w:val="center"/>
          </w:tcPr>
          <w:p>
            <w:pPr>
              <w:pStyle w:val="17"/>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134" w:type="dxa"/>
            <w:vAlign w:val="center"/>
          </w:tcPr>
          <w:p>
            <w:pPr>
              <w:pStyle w:val="17"/>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5" w:hRule="atLeast"/>
        </w:trPr>
        <w:tc>
          <w:tcPr>
            <w:tcW w:w="8364" w:type="dxa"/>
            <w:gridSpan w:val="6"/>
          </w:tcPr>
          <w:p>
            <w:pPr>
              <w:pStyle w:val="17"/>
              <w:spacing w:before="116"/>
              <w:ind w:firstLine="1920" w:firstLineChars="80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合同总价大写</w:t>
            </w:r>
            <w:r>
              <w:rPr>
                <w:rFonts w:hint="eastAsia" w:asciiTheme="minorEastAsia" w:hAnsiTheme="minorEastAsia" w:eastAsiaTheme="minorEastAsia" w:cstheme="minorEastAsia"/>
                <w:color w:val="000000" w:themeColor="text1"/>
                <w:sz w:val="24"/>
                <w:szCs w:val="24"/>
                <w:lang w:val="en-US"/>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14:textFill>
                  <w14:solidFill>
                    <w14:schemeClr w14:val="tx1"/>
                  </w14:solidFill>
                </w14:textFill>
              </w:rPr>
              <w:t>元整                           小写：￥</w:t>
            </w:r>
          </w:p>
        </w:tc>
      </w:tr>
    </w:tbl>
    <w:p>
      <w:pPr>
        <w:ind w:right="1636"/>
        <w:jc w:val="righ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金额单位：元</w:t>
      </w:r>
    </w:p>
    <w:p>
      <w:pPr>
        <w:pStyle w:val="3"/>
        <w:spacing w:line="0" w:lineRule="atLeast"/>
        <w:ind w:right="21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注：1、商品型号、数量、配置要求及使用单位地址等详见附件清单</w:t>
      </w:r>
    </w:p>
    <w:p>
      <w:pPr>
        <w:pStyle w:val="3"/>
        <w:spacing w:line="0" w:lineRule="atLeast"/>
        <w:ind w:left="105" w:right="21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   2、以上合同总价包含货物到达用户并能正常使用所需的一切费用，包括但不限于包装费、运输费、装卸费、保险费、安装调试费、技术服务费、培训费以及保修费、税费等。</w:t>
      </w:r>
    </w:p>
    <w:p>
      <w:pPr>
        <w:pStyle w:val="4"/>
        <w:spacing w:before="85"/>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二、技术资料</w:t>
      </w:r>
    </w:p>
    <w:p>
      <w:pPr>
        <w:pStyle w:val="18"/>
        <w:numPr>
          <w:ilvl w:val="0"/>
          <w:numId w:val="4"/>
        </w:numPr>
        <w:tabs>
          <w:tab w:val="left" w:pos="522"/>
        </w:tabs>
        <w:ind w:hanging="17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乙方应按招标文件规定的时间向甲方提供使用货物的有关技术资料。</w:t>
      </w:r>
    </w:p>
    <w:p>
      <w:pPr>
        <w:pStyle w:val="18"/>
        <w:numPr>
          <w:ilvl w:val="0"/>
          <w:numId w:val="4"/>
        </w:numPr>
        <w:tabs>
          <w:tab w:val="left" w:pos="522"/>
        </w:tabs>
        <w:ind w:left="111" w:right="101" w:firstLine="24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pPr>
        <w:pStyle w:val="4"/>
        <w:spacing w:before="86"/>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三、知识产权</w:t>
      </w:r>
    </w:p>
    <w:p>
      <w:pPr>
        <w:pStyle w:val="3"/>
        <w:spacing w:before="22"/>
        <w:ind w:left="351"/>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乙方应保证所提供的货物或其任何一部分均不会侵犯任何第三方的知识产权。</w:t>
      </w:r>
    </w:p>
    <w:p>
      <w:pPr>
        <w:pStyle w:val="4"/>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四、产权担保</w:t>
      </w:r>
    </w:p>
    <w:p>
      <w:pPr>
        <w:pStyle w:val="3"/>
        <w:spacing w:before="23"/>
        <w:ind w:left="351"/>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乙方保证所交付的货物的所有权完全属于乙方且无任何抵押、查封等产权瑕疵。</w:t>
      </w:r>
    </w:p>
    <w:p>
      <w:pPr>
        <w:pStyle w:val="4"/>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五、转包或分包</w:t>
      </w:r>
    </w:p>
    <w:p>
      <w:pPr>
        <w:pStyle w:val="3"/>
        <w:spacing w:before="22"/>
        <w:ind w:left="351"/>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本合同范围的货物，应由乙方直接供应，不得转让他人供应，否则，甲方有权解除合同，没收质量保证金并追究乙方的违约责任。</w:t>
      </w:r>
    </w:p>
    <w:p>
      <w:pPr>
        <w:pStyle w:val="4"/>
        <w:spacing w:before="107"/>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六、质保期和质保金</w:t>
      </w:r>
    </w:p>
    <w:p>
      <w:pPr>
        <w:pStyle w:val="18"/>
        <w:numPr>
          <w:ilvl w:val="0"/>
          <w:numId w:val="5"/>
        </w:numPr>
        <w:tabs>
          <w:tab w:val="left" w:pos="522"/>
        </w:tabs>
        <w:ind w:hanging="17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6"/>
          <w:sz w:val="24"/>
          <w:szCs w:val="24"/>
          <w14:textFill>
            <w14:solidFill>
              <w14:schemeClr w14:val="tx1"/>
            </w14:solidFill>
          </w14:textFill>
        </w:rPr>
        <w:t>质保期为</w:t>
      </w:r>
      <w:r>
        <w:rPr>
          <w:rFonts w:hint="eastAsia" w:asciiTheme="minorEastAsia" w:hAnsiTheme="minorEastAsia" w:eastAsiaTheme="minorEastAsia" w:cstheme="minorEastAsia"/>
          <w:color w:val="000000" w:themeColor="text1"/>
          <w:spacing w:val="-6"/>
          <w:sz w:val="24"/>
          <w:szCs w:val="24"/>
          <w:u w:val="single"/>
          <w:lang w:val="en-US"/>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6"/>
          <w:sz w:val="24"/>
          <w:szCs w:val="24"/>
          <w:lang w:val="en-US"/>
          <w14:textFill>
            <w14:solidFill>
              <w14:schemeClr w14:val="tx1"/>
            </w14:solidFill>
          </w14:textFill>
        </w:rPr>
        <w:t>年</w:t>
      </w:r>
      <w:r>
        <w:rPr>
          <w:rFonts w:hint="eastAsia" w:asciiTheme="minorEastAsia" w:hAnsiTheme="minorEastAsia" w:eastAsiaTheme="minorEastAsia" w:cstheme="minorEastAsia"/>
          <w:color w:val="000000" w:themeColor="text1"/>
          <w:sz w:val="24"/>
          <w:szCs w:val="24"/>
          <w14:textFill>
            <w14:solidFill>
              <w14:schemeClr w14:val="tx1"/>
            </w14:solidFill>
          </w14:textFill>
        </w:rPr>
        <w:t>。（自交货验收合格之日起计）</w:t>
      </w:r>
    </w:p>
    <w:p>
      <w:pPr>
        <w:pStyle w:val="18"/>
        <w:numPr>
          <w:ilvl w:val="0"/>
          <w:numId w:val="5"/>
        </w:numPr>
        <w:tabs>
          <w:tab w:val="left" w:pos="522"/>
          <w:tab w:val="left" w:pos="1347"/>
        </w:tabs>
        <w:spacing w:before="70"/>
        <w:ind w:hanging="17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质保金</w:t>
      </w:r>
      <w:r>
        <w:rPr>
          <w:rFonts w:hint="eastAsia" w:asciiTheme="minorEastAsia" w:hAnsiTheme="minorEastAsia" w:eastAsiaTheme="minorEastAsia" w:cstheme="minorEastAsia"/>
          <w:color w:val="000000" w:themeColor="text1"/>
          <w:sz w:val="24"/>
          <w:szCs w:val="24"/>
          <w:u w:val="single" w:color="4068E0"/>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u w:val="single" w:color="4068E0"/>
          <w:lang w:val="en-US"/>
          <w14:textFill>
            <w14:solidFill>
              <w14:schemeClr w14:val="tx1"/>
            </w14:solidFill>
          </w14:textFill>
        </w:rPr>
        <w:t>0</w:t>
      </w:r>
      <w:r>
        <w:rPr>
          <w:rFonts w:hint="eastAsia" w:asciiTheme="minorEastAsia" w:hAnsiTheme="minorEastAsia" w:eastAsiaTheme="minorEastAsia" w:cstheme="minorEastAsia"/>
          <w:color w:val="000000" w:themeColor="text1"/>
          <w:sz w:val="24"/>
          <w:szCs w:val="24"/>
          <w:u w:val="single" w:color="4068E0"/>
          <w14:textFill>
            <w14:solidFill>
              <w14:schemeClr w14:val="tx1"/>
            </w14:solidFill>
          </w14:textFill>
        </w:rPr>
        <w:tab/>
      </w:r>
      <w:r>
        <w:rPr>
          <w:rFonts w:hint="eastAsia" w:asciiTheme="minorEastAsia" w:hAnsiTheme="minorEastAsia" w:eastAsiaTheme="minorEastAsia" w:cstheme="minorEastAsia"/>
          <w:color w:val="000000" w:themeColor="text1"/>
          <w:sz w:val="24"/>
          <w:szCs w:val="24"/>
          <w14:textFill>
            <w14:solidFill>
              <w14:schemeClr w14:val="tx1"/>
            </w14:solidFill>
          </w14:textFill>
        </w:rPr>
        <w:t>元。</w:t>
      </w:r>
      <w:r>
        <w:rPr>
          <w:rFonts w:hint="eastAsia" w:asciiTheme="minorEastAsia" w:hAnsiTheme="minorEastAsia" w:eastAsiaTheme="minorEastAsia" w:cstheme="minorEastAsia"/>
          <w:color w:val="000000" w:themeColor="text1"/>
          <w:spacing w:val="-5"/>
          <w:sz w:val="24"/>
          <w:szCs w:val="24"/>
          <w14:textFill>
            <w14:solidFill>
              <w14:schemeClr w14:val="tx1"/>
            </w14:solidFill>
          </w14:textFill>
        </w:rPr>
        <w:t>[</w:t>
      </w:r>
      <w:r>
        <w:rPr>
          <w:rFonts w:hint="eastAsia" w:asciiTheme="minorEastAsia" w:hAnsiTheme="minorEastAsia" w:eastAsiaTheme="minorEastAsia" w:cstheme="minorEastAsia"/>
          <w:color w:val="000000" w:themeColor="text1"/>
          <w:sz w:val="24"/>
          <w:szCs w:val="24"/>
          <w14:textFill>
            <w14:solidFill>
              <w14:schemeClr w14:val="tx1"/>
            </w14:solidFill>
          </w14:textFill>
        </w:rPr>
        <w:t>质量保证金于合同签订后</w:t>
      </w:r>
      <w:r>
        <w:rPr>
          <w:rFonts w:hint="eastAsia" w:asciiTheme="minorEastAsia" w:hAnsiTheme="minorEastAsia" w:eastAsiaTheme="minorEastAsia" w:cstheme="minorEastAsia"/>
          <w:color w:val="000000" w:themeColor="text1"/>
          <w:sz w:val="24"/>
          <w:szCs w:val="24"/>
          <w:lang w:val="en-US"/>
          <w14:textFill>
            <w14:solidFill>
              <w14:schemeClr w14:val="tx1"/>
            </w14:solidFill>
          </w14:textFill>
        </w:rPr>
        <w:t xml:space="preserve">    日内</w:t>
      </w:r>
      <w:r>
        <w:rPr>
          <w:rFonts w:hint="eastAsia" w:asciiTheme="minorEastAsia" w:hAnsiTheme="minorEastAsia" w:eastAsiaTheme="minorEastAsia" w:cstheme="minorEastAsia"/>
          <w:color w:val="000000" w:themeColor="text1"/>
          <w:sz w:val="24"/>
          <w:szCs w:val="24"/>
          <w14:textFill>
            <w14:solidFill>
              <w14:schemeClr w14:val="tx1"/>
            </w14:solidFill>
          </w14:textFill>
        </w:rPr>
        <w:t>交给采购单位，在合同约定交货验收合格满（</w:t>
      </w:r>
      <w:r>
        <w:rPr>
          <w:rFonts w:hint="eastAsia" w:asciiTheme="minorEastAsia" w:hAnsiTheme="minorEastAsia" w:eastAsiaTheme="minorEastAsia" w:cstheme="minorEastAsia"/>
          <w:color w:val="000000" w:themeColor="text1"/>
          <w:spacing w:val="-28"/>
          <w:sz w:val="24"/>
          <w:szCs w:val="24"/>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28"/>
          <w:sz w:val="24"/>
          <w:szCs w:val="24"/>
          <w:lang w:val="en-US"/>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14:textFill>
            <w14:solidFill>
              <w14:schemeClr w14:val="tx1"/>
            </w14:solidFill>
          </w14:textFill>
        </w:rPr>
        <w:t>）个月之日起</w:t>
      </w:r>
      <w:r>
        <w:rPr>
          <w:rFonts w:hint="eastAsia" w:asciiTheme="minorEastAsia" w:hAnsiTheme="minorEastAsia" w:eastAsiaTheme="minorEastAsia" w:cstheme="minorEastAsia"/>
          <w:color w:val="000000" w:themeColor="text1"/>
          <w:spacing w:val="-28"/>
          <w:sz w:val="24"/>
          <w:szCs w:val="24"/>
          <w:lang w:val="en-US"/>
          <w14:textFill>
            <w14:solidFill>
              <w14:schemeClr w14:val="tx1"/>
            </w14:solidFill>
          </w14:textFill>
        </w:rPr>
        <w:t xml:space="preserve"> 5 </w:t>
      </w:r>
      <w:r>
        <w:rPr>
          <w:rFonts w:hint="eastAsia" w:asciiTheme="minorEastAsia" w:hAnsiTheme="minorEastAsia" w:eastAsiaTheme="minorEastAsia" w:cstheme="minorEastAsia"/>
          <w:color w:val="000000" w:themeColor="text1"/>
          <w:sz w:val="24"/>
          <w:szCs w:val="24"/>
          <w14:textFill>
            <w14:solidFill>
              <w14:schemeClr w14:val="tx1"/>
            </w14:solidFill>
          </w14:textFill>
        </w:rPr>
        <w:t>个工作日内无息退还]</w:t>
      </w:r>
    </w:p>
    <w:p>
      <w:pPr>
        <w:pStyle w:val="4"/>
        <w:spacing w:before="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七、交货期、交货方式及交货地点</w:t>
      </w:r>
    </w:p>
    <w:p>
      <w:pPr>
        <w:pStyle w:val="18"/>
        <w:numPr>
          <w:ilvl w:val="0"/>
          <w:numId w:val="6"/>
        </w:numPr>
        <w:tabs>
          <w:tab w:val="left" w:pos="522"/>
        </w:tabs>
        <w:spacing w:before="22"/>
        <w:ind w:hanging="17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3"/>
          <w:sz w:val="24"/>
          <w:szCs w:val="24"/>
          <w14:textFill>
            <w14:solidFill>
              <w14:schemeClr w14:val="tx1"/>
            </w14:solidFill>
          </w14:textFill>
        </w:rPr>
        <w:t>交货期：合同签订后</w:t>
      </w:r>
      <w:r>
        <w:rPr>
          <w:rFonts w:hint="eastAsia" w:asciiTheme="minorEastAsia" w:hAnsiTheme="minorEastAsia" w:eastAsiaTheme="minorEastAsia" w:cstheme="minorEastAsia"/>
          <w:color w:val="000000" w:themeColor="text1"/>
          <w:spacing w:val="-3"/>
          <w:sz w:val="24"/>
          <w:szCs w:val="24"/>
          <w:lang w:val="en-US"/>
          <w14:textFill>
            <w14:solidFill>
              <w14:schemeClr w14:val="tx1"/>
            </w14:solidFill>
          </w14:textFill>
        </w:rPr>
        <w:t xml:space="preserve"> 60 </w:t>
      </w:r>
      <w:r>
        <w:rPr>
          <w:rFonts w:hint="eastAsia" w:asciiTheme="minorEastAsia" w:hAnsiTheme="minorEastAsia" w:eastAsiaTheme="minorEastAsia" w:cstheme="minorEastAsia"/>
          <w:color w:val="000000" w:themeColor="text1"/>
          <w:sz w:val="24"/>
          <w:szCs w:val="24"/>
          <w14:textFill>
            <w14:solidFill>
              <w14:schemeClr w14:val="tx1"/>
            </w14:solidFill>
          </w14:textFill>
        </w:rPr>
        <w:t>个工作日</w:t>
      </w:r>
    </w:p>
    <w:p>
      <w:pPr>
        <w:pStyle w:val="18"/>
        <w:numPr>
          <w:ilvl w:val="0"/>
          <w:numId w:val="6"/>
        </w:numPr>
        <w:tabs>
          <w:tab w:val="left" w:pos="522"/>
        </w:tabs>
        <w:ind w:hanging="17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5"/>
          <w:sz w:val="24"/>
          <w:szCs w:val="24"/>
          <w14:textFill>
            <w14:solidFill>
              <w14:schemeClr w14:val="tx1"/>
            </w14:solidFill>
          </w14:textFill>
        </w:rPr>
        <w:t>交货方式： 按甲方指定地点</w:t>
      </w:r>
      <w:r>
        <w:rPr>
          <w:rFonts w:hint="eastAsia" w:asciiTheme="minorEastAsia" w:hAnsiTheme="minorEastAsia" w:eastAsiaTheme="minorEastAsia" w:cstheme="minorEastAsia"/>
          <w:color w:val="000000" w:themeColor="text1"/>
          <w:sz w:val="24"/>
          <w:szCs w:val="24"/>
          <w14:textFill>
            <w14:solidFill>
              <w14:schemeClr w14:val="tx1"/>
            </w14:solidFill>
          </w14:textFill>
        </w:rPr>
        <w:t>送货上门</w:t>
      </w:r>
    </w:p>
    <w:p>
      <w:pPr>
        <w:pStyle w:val="18"/>
        <w:numPr>
          <w:ilvl w:val="0"/>
          <w:numId w:val="6"/>
        </w:numPr>
        <w:ind w:hanging="17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11"/>
          <w:sz w:val="24"/>
          <w:szCs w:val="24"/>
          <w14:textFill>
            <w14:solidFill>
              <w14:schemeClr w14:val="tx1"/>
            </w14:solidFill>
          </w14:textFill>
        </w:rPr>
        <w:t xml:space="preserve">交货地点： </w:t>
      </w:r>
      <w:r>
        <w:rPr>
          <w:rFonts w:hint="eastAsia" w:asciiTheme="minorEastAsia" w:hAnsiTheme="minorEastAsia" w:eastAsiaTheme="minorEastAsia" w:cstheme="minorEastAsia"/>
          <w:color w:val="000000" w:themeColor="text1"/>
          <w:sz w:val="24"/>
          <w:szCs w:val="24"/>
          <w14:textFill>
            <w14:solidFill>
              <w14:schemeClr w14:val="tx1"/>
            </w14:solidFill>
          </w14:textFill>
        </w:rPr>
        <w:t>浙江省温州市鹿城区南汇街道六虹桥路蛟尾路9号</w:t>
      </w:r>
    </w:p>
    <w:p>
      <w:pPr>
        <w:tabs>
          <w:tab w:val="left" w:pos="522"/>
        </w:tabs>
        <w:ind w:left="105" w:right="5480"/>
        <w:rPr>
          <w:rFonts w:hint="eastAsia" w:asciiTheme="minorEastAsia" w:hAnsiTheme="minorEastAsia" w:eastAsiaTheme="minorEastAsia" w:cstheme="minorEastAsia"/>
          <w:b/>
          <w:bCs/>
          <w:color w:val="000000" w:themeColor="text1"/>
          <w:sz w:val="24"/>
          <w:szCs w:val="24"/>
          <w14:textFill>
            <w14:solidFill>
              <w14:schemeClr w14:val="tx1"/>
            </w14:solidFill>
          </w14:textFill>
        </w:rPr>
      </w:pPr>
      <w:r>
        <w:rPr>
          <w:rFonts w:hint="eastAsia" w:asciiTheme="minorEastAsia" w:hAnsiTheme="minorEastAsia" w:eastAsiaTheme="minorEastAsia" w:cstheme="minorEastAsia"/>
          <w:b/>
          <w:color w:val="000000" w:themeColor="text1"/>
          <w:spacing w:val="10"/>
          <w:sz w:val="24"/>
          <w:szCs w:val="24"/>
          <w14:textFill>
            <w14:solidFill>
              <w14:schemeClr w14:val="tx1"/>
            </w14:solidFill>
          </w14:textFill>
        </w:rPr>
        <w:t>八、</w:t>
      </w:r>
      <w:r>
        <w:rPr>
          <w:rFonts w:hint="eastAsia" w:asciiTheme="minorEastAsia" w:hAnsiTheme="minorEastAsia" w:eastAsiaTheme="minorEastAsia" w:cstheme="minorEastAsia"/>
          <w:b/>
          <w:bCs/>
          <w:color w:val="000000" w:themeColor="text1"/>
          <w:sz w:val="24"/>
          <w:szCs w:val="24"/>
          <w14:textFill>
            <w14:solidFill>
              <w14:schemeClr w14:val="tx1"/>
            </w14:solidFill>
          </w14:textFill>
        </w:rPr>
        <w:t>货款支付</w:t>
      </w:r>
    </w:p>
    <w:p>
      <w:pP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甲方按以下第1种方式支付乙方合同价款。</w:t>
      </w:r>
    </w:p>
    <w:p>
      <w:pPr>
        <w:pStyle w:val="3"/>
        <w:spacing w:before="21"/>
        <w:ind w:left="351"/>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1、一次性支付：</w:t>
      </w:r>
    </w:p>
    <w:p>
      <w:pPr>
        <w:pStyle w:val="3"/>
        <w:tabs>
          <w:tab w:val="left" w:pos="4877"/>
        </w:tabs>
        <w:spacing w:before="71"/>
        <w:ind w:left="351"/>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本合同项下的全部货物安装调试完毕并经最终验收合格后</w:t>
      </w:r>
      <w:r>
        <w:rPr>
          <w:rFonts w:hint="eastAsia" w:asciiTheme="minorEastAsia" w:hAnsiTheme="minorEastAsia" w:eastAsiaTheme="minorEastAsia" w:cstheme="minorEastAsia"/>
          <w:color w:val="000000" w:themeColor="text1"/>
          <w:sz w:val="24"/>
          <w:szCs w:val="24"/>
          <w:u w:val="single" w:color="4068E0"/>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u w:val="single" w:color="4068E0"/>
          <w:lang w:val="en-US"/>
          <w14:textFill>
            <w14:solidFill>
              <w14:schemeClr w14:val="tx1"/>
            </w14:solidFill>
          </w14:textFill>
        </w:rPr>
        <w:t>90</w:t>
      </w:r>
      <w:r>
        <w:rPr>
          <w:rFonts w:hint="eastAsia" w:asciiTheme="minorEastAsia" w:hAnsiTheme="minorEastAsia" w:eastAsiaTheme="minorEastAsia" w:cstheme="minorEastAsia"/>
          <w:color w:val="000000" w:themeColor="text1"/>
          <w:sz w:val="24"/>
          <w:szCs w:val="24"/>
          <w:u w:val="single" w:color="4068E0"/>
          <w14:textFill>
            <w14:solidFill>
              <w14:schemeClr w14:val="tx1"/>
            </w14:solidFill>
          </w14:textFill>
        </w:rPr>
        <w:tab/>
      </w:r>
      <w:r>
        <w:rPr>
          <w:rFonts w:hint="eastAsia" w:asciiTheme="minorEastAsia" w:hAnsiTheme="minorEastAsia" w:eastAsiaTheme="minorEastAsia" w:cstheme="minorEastAsia"/>
          <w:color w:val="000000" w:themeColor="text1"/>
          <w:sz w:val="24"/>
          <w:szCs w:val="24"/>
          <w14:textFill>
            <w14:solidFill>
              <w14:schemeClr w14:val="tx1"/>
            </w14:solidFill>
          </w14:textFill>
        </w:rPr>
        <w:t>个工作日内，甲方向乙方支付全部合同价款。</w:t>
      </w:r>
    </w:p>
    <w:p>
      <w:pPr>
        <w:pStyle w:val="3"/>
        <w:spacing w:before="69"/>
        <w:ind w:left="351"/>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2、分期支付：</w:t>
      </w:r>
    </w:p>
    <w:p>
      <w:pPr>
        <w:pStyle w:val="18"/>
        <w:numPr>
          <w:ilvl w:val="0"/>
          <w:numId w:val="7"/>
        </w:numPr>
        <w:tabs>
          <w:tab w:val="left" w:pos="797"/>
          <w:tab w:val="left" w:pos="2800"/>
          <w:tab w:val="left" w:pos="5814"/>
          <w:tab w:val="left" w:pos="7603"/>
          <w:tab w:val="left" w:pos="8599"/>
        </w:tabs>
        <w:spacing w:before="69"/>
        <w:ind w:hanging="445"/>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甲方应于本合同生效后</w:t>
      </w:r>
      <w:r>
        <w:rPr>
          <w:rFonts w:hint="eastAsia" w:asciiTheme="minorEastAsia" w:hAnsiTheme="minorEastAsia" w:eastAsiaTheme="minorEastAsia" w:cstheme="minorEastAsia"/>
          <w:color w:val="000000" w:themeColor="text1"/>
          <w:sz w:val="24"/>
          <w:szCs w:val="24"/>
          <w:u w:val="single" w:color="4068E0"/>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u w:val="single" w:color="4068E0"/>
          <w:lang w:val="en-US"/>
          <w14:textFill>
            <w14:solidFill>
              <w14:schemeClr w14:val="tx1"/>
            </w14:solidFill>
          </w14:textFill>
        </w:rPr>
        <w:t>/</w:t>
      </w:r>
      <w:r>
        <w:rPr>
          <w:rFonts w:hint="eastAsia" w:asciiTheme="minorEastAsia" w:hAnsiTheme="minorEastAsia" w:eastAsiaTheme="minorEastAsia" w:cstheme="minorEastAsia"/>
          <w:color w:val="000000" w:themeColor="text1"/>
          <w:sz w:val="24"/>
          <w:szCs w:val="24"/>
          <w14:textFill>
            <w14:solidFill>
              <w14:schemeClr w14:val="tx1"/>
            </w14:solidFill>
          </w14:textFill>
        </w:rPr>
        <w:t>个工作日内向乙方支付合同总价款的</w:t>
      </w:r>
      <w:r>
        <w:rPr>
          <w:rFonts w:hint="eastAsia" w:asciiTheme="minorEastAsia" w:hAnsiTheme="minorEastAsia" w:eastAsiaTheme="minorEastAsia" w:cstheme="minorEastAsia"/>
          <w:color w:val="000000" w:themeColor="text1"/>
          <w:sz w:val="24"/>
          <w:szCs w:val="24"/>
          <w:u w:val="single" w:color="4068E0"/>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u w:val="single" w:color="4068E0"/>
          <w:lang w:val="en-US"/>
          <w14:textFill>
            <w14:solidFill>
              <w14:schemeClr w14:val="tx1"/>
            </w14:solidFill>
          </w14:textFill>
        </w:rPr>
        <w:t>/</w:t>
      </w:r>
      <w:r>
        <w:rPr>
          <w:rFonts w:hint="eastAsia" w:asciiTheme="minorEastAsia" w:hAnsiTheme="minorEastAsia" w:eastAsiaTheme="minorEastAsia" w:cstheme="minorEastAsia"/>
          <w:color w:val="000000" w:themeColor="text1"/>
          <w:sz w:val="24"/>
          <w:szCs w:val="24"/>
          <w14:textFill>
            <w14:solidFill>
              <w14:schemeClr w14:val="tx1"/>
            </w14:solidFill>
          </w14:textFill>
        </w:rPr>
        <w:t>%作为预付款，计¥</w:t>
      </w:r>
      <w:r>
        <w:rPr>
          <w:rFonts w:hint="eastAsia" w:asciiTheme="minorEastAsia" w:hAnsiTheme="minorEastAsia" w:eastAsiaTheme="minorEastAsia" w:cstheme="minorEastAsia"/>
          <w:color w:val="000000" w:themeColor="text1"/>
          <w:sz w:val="24"/>
          <w:szCs w:val="24"/>
          <w:u w:val="single" w:color="4068E0"/>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u w:val="single" w:color="4068E0"/>
          <w:lang w:val="en-US"/>
          <w14:textFill>
            <w14:solidFill>
              <w14:schemeClr w14:val="tx1"/>
            </w14:solidFill>
          </w14:textFill>
        </w:rPr>
        <w:t>/</w:t>
      </w:r>
      <w:r>
        <w:rPr>
          <w:rFonts w:hint="eastAsia" w:asciiTheme="minorEastAsia" w:hAnsiTheme="minorEastAsia" w:eastAsiaTheme="minorEastAsia" w:cstheme="minorEastAsia"/>
          <w:color w:val="000000" w:themeColor="text1"/>
          <w:sz w:val="24"/>
          <w:szCs w:val="24"/>
          <w14:textFill>
            <w14:solidFill>
              <w14:schemeClr w14:val="tx1"/>
            </w14:solidFill>
          </w14:textFill>
        </w:rPr>
        <w:t>元（大写</w:t>
      </w:r>
      <w:r>
        <w:rPr>
          <w:rFonts w:hint="eastAsia" w:asciiTheme="minorEastAsia" w:hAnsiTheme="minorEastAsia" w:eastAsiaTheme="minorEastAsia" w:cstheme="minorEastAsia"/>
          <w:color w:val="000000" w:themeColor="text1"/>
          <w:sz w:val="24"/>
          <w:szCs w:val="24"/>
          <w:u w:val="single" w:color="4068E0"/>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u w:val="single" w:color="4068E0"/>
          <w:lang w:val="en-US"/>
          <w14:textFill>
            <w14:solidFill>
              <w14:schemeClr w14:val="tx1"/>
            </w14:solidFill>
          </w14:textFill>
        </w:rPr>
        <w:t>/</w:t>
      </w:r>
      <w:r>
        <w:rPr>
          <w:rFonts w:hint="eastAsia" w:asciiTheme="minorEastAsia" w:hAnsiTheme="minorEastAsia" w:eastAsiaTheme="minorEastAsia" w:cstheme="minorEastAsia"/>
          <w:color w:val="000000" w:themeColor="text1"/>
          <w:sz w:val="24"/>
          <w:szCs w:val="24"/>
          <w14:textFill>
            <w14:solidFill>
              <w14:schemeClr w14:val="tx1"/>
            </w14:solidFill>
          </w14:textFill>
        </w:rPr>
        <w:t>元整）；</w:t>
      </w:r>
    </w:p>
    <w:p>
      <w:pPr>
        <w:pStyle w:val="18"/>
        <w:numPr>
          <w:ilvl w:val="0"/>
          <w:numId w:val="7"/>
        </w:numPr>
        <w:tabs>
          <w:tab w:val="left" w:pos="797"/>
          <w:tab w:val="left" w:pos="2632"/>
          <w:tab w:val="left" w:pos="6150"/>
          <w:tab w:val="left" w:pos="7098"/>
          <w:tab w:val="left" w:pos="8095"/>
        </w:tabs>
        <w:spacing w:before="118"/>
        <w:ind w:hanging="445"/>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全部货物验收合格后</w:t>
      </w:r>
      <w:r>
        <w:rPr>
          <w:rFonts w:hint="eastAsia" w:asciiTheme="minorEastAsia" w:hAnsiTheme="minorEastAsia" w:eastAsiaTheme="minorEastAsia" w:cstheme="minorEastAsia"/>
          <w:color w:val="000000" w:themeColor="text1"/>
          <w:sz w:val="24"/>
          <w:szCs w:val="24"/>
          <w:u w:val="single" w:color="4068E0"/>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u w:val="single" w:color="4068E0"/>
          <w:lang w:val="en-US"/>
          <w14:textFill>
            <w14:solidFill>
              <w14:schemeClr w14:val="tx1"/>
            </w14:solidFill>
          </w14:textFill>
        </w:rPr>
        <w:t>/</w:t>
      </w:r>
      <w:r>
        <w:rPr>
          <w:rFonts w:hint="eastAsia" w:asciiTheme="minorEastAsia" w:hAnsiTheme="minorEastAsia" w:eastAsiaTheme="minorEastAsia" w:cstheme="minorEastAsia"/>
          <w:color w:val="000000" w:themeColor="text1"/>
          <w:sz w:val="24"/>
          <w:szCs w:val="24"/>
          <w14:textFill>
            <w14:solidFill>
              <w14:schemeClr w14:val="tx1"/>
            </w14:solidFill>
          </w14:textFill>
        </w:rPr>
        <w:t>个工作日内，甲方向乙方支付合同总价款的</w:t>
      </w:r>
      <w:r>
        <w:rPr>
          <w:rFonts w:hint="eastAsia" w:asciiTheme="minorEastAsia" w:hAnsiTheme="minorEastAsia" w:eastAsiaTheme="minorEastAsia" w:cstheme="minorEastAsia"/>
          <w:color w:val="000000" w:themeColor="text1"/>
          <w:sz w:val="24"/>
          <w:szCs w:val="24"/>
          <w:u w:val="single" w:color="4068E0"/>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u w:val="single" w:color="4068E0"/>
          <w:lang w:val="en-US"/>
          <w14:textFill>
            <w14:solidFill>
              <w14:schemeClr w14:val="tx1"/>
            </w14:solidFill>
          </w14:textFill>
        </w:rPr>
        <w:t>/</w:t>
      </w:r>
      <w:r>
        <w:rPr>
          <w:rFonts w:hint="eastAsia" w:asciiTheme="minorEastAsia" w:hAnsiTheme="minorEastAsia" w:eastAsiaTheme="minorEastAsia" w:cstheme="minorEastAsia"/>
          <w:color w:val="000000" w:themeColor="text1"/>
          <w:sz w:val="24"/>
          <w:szCs w:val="24"/>
          <w14:textFill>
            <w14:solidFill>
              <w14:schemeClr w14:val="tx1"/>
            </w14:solidFill>
          </w14:textFill>
        </w:rPr>
        <w:t>%，计¥</w:t>
      </w:r>
      <w:r>
        <w:rPr>
          <w:rFonts w:hint="eastAsia" w:asciiTheme="minorEastAsia" w:hAnsiTheme="minorEastAsia" w:eastAsiaTheme="minorEastAsia" w:cstheme="minorEastAsia"/>
          <w:color w:val="000000" w:themeColor="text1"/>
          <w:sz w:val="24"/>
          <w:szCs w:val="24"/>
          <w:u w:val="single" w:color="4068E0"/>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u w:val="single" w:color="4068E0"/>
          <w:lang w:val="en-US"/>
          <w14:textFill>
            <w14:solidFill>
              <w14:schemeClr w14:val="tx1"/>
            </w14:solidFill>
          </w14:textFill>
        </w:rPr>
        <w:t>/</w:t>
      </w:r>
      <w:r>
        <w:rPr>
          <w:rFonts w:hint="eastAsia" w:asciiTheme="minorEastAsia" w:hAnsiTheme="minorEastAsia" w:eastAsiaTheme="minorEastAsia" w:cstheme="minorEastAsia"/>
          <w:color w:val="000000" w:themeColor="text1"/>
          <w:sz w:val="24"/>
          <w:szCs w:val="24"/>
          <w14:textFill>
            <w14:solidFill>
              <w14:schemeClr w14:val="tx1"/>
            </w14:solidFill>
          </w14:textFill>
        </w:rPr>
        <w:t>元（大写</w:t>
      </w:r>
      <w:r>
        <w:rPr>
          <w:rFonts w:hint="eastAsia" w:asciiTheme="minorEastAsia" w:hAnsiTheme="minorEastAsia" w:eastAsiaTheme="minorEastAsia" w:cstheme="minorEastAsia"/>
          <w:color w:val="000000" w:themeColor="text1"/>
          <w:sz w:val="24"/>
          <w:szCs w:val="24"/>
          <w:u w:val="single" w:color="4068E0"/>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u w:val="single" w:color="4068E0"/>
          <w:lang w:val="en-US"/>
          <w14:textFill>
            <w14:solidFill>
              <w14:schemeClr w14:val="tx1"/>
            </w14:solidFill>
          </w14:textFill>
        </w:rPr>
        <w:t>/</w:t>
      </w:r>
      <w:r>
        <w:rPr>
          <w:rFonts w:hint="eastAsia" w:asciiTheme="minorEastAsia" w:hAnsiTheme="minorEastAsia" w:eastAsiaTheme="minorEastAsia" w:cstheme="minorEastAsia"/>
          <w:color w:val="000000" w:themeColor="text1"/>
          <w:sz w:val="24"/>
          <w:szCs w:val="24"/>
          <w14:textFill>
            <w14:solidFill>
              <w14:schemeClr w14:val="tx1"/>
            </w14:solidFill>
          </w14:textFill>
        </w:rPr>
        <w:t>元整）。</w:t>
      </w:r>
    </w:p>
    <w:p>
      <w:pPr>
        <w:pStyle w:val="4"/>
        <w:spacing w:before="166"/>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九、税费</w:t>
      </w:r>
    </w:p>
    <w:p>
      <w:pPr>
        <w:pStyle w:val="3"/>
        <w:spacing w:before="23"/>
        <w:ind w:left="351"/>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本合同执行中相关的一切税费均由乙方负担。</w:t>
      </w:r>
    </w:p>
    <w:p>
      <w:pPr>
        <w:pStyle w:val="4"/>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十、质量保证及售后服务</w:t>
      </w:r>
    </w:p>
    <w:p>
      <w:pPr>
        <w:pStyle w:val="18"/>
        <w:numPr>
          <w:ilvl w:val="0"/>
          <w:numId w:val="8"/>
        </w:numPr>
        <w:tabs>
          <w:tab w:val="left" w:pos="522"/>
        </w:tabs>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乙方保证本合同中所供应的商品是最新生产的符合国家技术规格和质量标准的出厂原装的合格产品。如发生所供商品与合同不符，甲方（采购单位）有权拒收或退货，由此产生的一切责任和后果由乙方承担。</w:t>
      </w:r>
    </w:p>
    <w:p>
      <w:pPr>
        <w:pStyle w:val="18"/>
        <w:numPr>
          <w:ilvl w:val="0"/>
          <w:numId w:val="8"/>
        </w:numPr>
        <w:tabs>
          <w:tab w:val="left" w:pos="522"/>
        </w:tabs>
        <w:ind w:hanging="17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乙方提供的货物在质保期内因货物本身的质量问题发生故障，乙方应负责免费更换。对达不到技术要求者，根据实际情况，经双方协商，可按以下办法处理：</w:t>
      </w:r>
    </w:p>
    <w:p>
      <w:pPr>
        <w:pStyle w:val="18"/>
        <w:numPr>
          <w:ilvl w:val="0"/>
          <w:numId w:val="9"/>
        </w:numPr>
        <w:tabs>
          <w:tab w:val="left" w:pos="797"/>
        </w:tabs>
        <w:spacing w:before="0"/>
        <w:ind w:hanging="445"/>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更换：由乙方承担所发生的全部费用。</w:t>
      </w:r>
    </w:p>
    <w:p>
      <w:pPr>
        <w:pStyle w:val="18"/>
        <w:numPr>
          <w:ilvl w:val="0"/>
          <w:numId w:val="9"/>
        </w:numPr>
        <w:tabs>
          <w:tab w:val="left" w:pos="797"/>
        </w:tabs>
        <w:spacing w:before="22"/>
        <w:ind w:hanging="445"/>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贬值处理：由甲乙双方合议定价。</w:t>
      </w:r>
    </w:p>
    <w:p>
      <w:pPr>
        <w:pStyle w:val="18"/>
        <w:numPr>
          <w:ilvl w:val="0"/>
          <w:numId w:val="9"/>
        </w:numPr>
        <w:tabs>
          <w:tab w:val="left" w:pos="797"/>
        </w:tabs>
        <w:ind w:hanging="445"/>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退货处理：乙方应退还甲方支付的合同款，同时应承担该货物的直接费用（运输、保险、检验、货款利息及银行手续费等）。</w:t>
      </w:r>
    </w:p>
    <w:p>
      <w:pPr>
        <w:pStyle w:val="18"/>
        <w:numPr>
          <w:ilvl w:val="0"/>
          <w:numId w:val="8"/>
        </w:numPr>
        <w:tabs>
          <w:tab w:val="left" w:pos="522"/>
        </w:tabs>
        <w:spacing w:before="22"/>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在质保期内，乙方应对货物出现的质量及安全问题负责处理解决并承担一切费用。</w:t>
      </w:r>
    </w:p>
    <w:p>
      <w:pPr>
        <w:pStyle w:val="18"/>
        <w:numPr>
          <w:ilvl w:val="0"/>
          <w:numId w:val="8"/>
        </w:numPr>
        <w:tabs>
          <w:tab w:val="left" w:pos="522"/>
        </w:tabs>
        <w:spacing w:before="22"/>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上述的货物在质保期内免费保修，因人为因素出现的故障不在免费保修范围内。超过保修期的机器设备，终生维修，维修时只收部件成本费。乙方应当在甲方通知维修后2日内到达货物所在地进行维修。</w:t>
      </w:r>
    </w:p>
    <w:p>
      <w:pPr>
        <w:pStyle w:val="4"/>
        <w:spacing w:before="85"/>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十一、调试和验收</w:t>
      </w:r>
    </w:p>
    <w:p>
      <w:pPr>
        <w:pStyle w:val="18"/>
        <w:numPr>
          <w:ilvl w:val="0"/>
          <w:numId w:val="10"/>
        </w:numPr>
        <w:tabs>
          <w:tab w:val="left" w:pos="522"/>
        </w:tabs>
        <w:spacing w:before="106"/>
        <w:ind w:hanging="17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甲方对乙方提交的货物依据招标文件上的技术规格要求和国家有关质量标准进行现场验收。货到后，甲方需在二十个工作日内验收（质量等隐蔽瑕疵除外）。</w:t>
      </w:r>
    </w:p>
    <w:p>
      <w:pPr>
        <w:pStyle w:val="18"/>
        <w:numPr>
          <w:ilvl w:val="0"/>
          <w:numId w:val="10"/>
        </w:numPr>
        <w:tabs>
          <w:tab w:val="left" w:pos="522"/>
        </w:tabs>
        <w:ind w:left="111" w:right="101" w:firstLine="24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乙方交货前应对产品作出全面检查和对验收文件进行整理，并列出清单，作为甲方收货验收和使用的技术条件依据，检验的结果应随货物交甲方。</w:t>
      </w:r>
    </w:p>
    <w:p>
      <w:pPr>
        <w:pStyle w:val="18"/>
        <w:numPr>
          <w:ilvl w:val="0"/>
          <w:numId w:val="10"/>
        </w:numPr>
        <w:tabs>
          <w:tab w:val="left" w:pos="522"/>
        </w:tabs>
        <w:spacing w:before="0"/>
        <w:ind w:left="111" w:right="101" w:firstLine="24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甲方对乙方提供的货物在使用前进行调试时，乙方需负责安装并培训甲方的使用操作人员，并协助甲方一起调试，直到符合技术要求，    甲方才做最终验收。</w:t>
      </w:r>
    </w:p>
    <w:p>
      <w:pPr>
        <w:pStyle w:val="18"/>
        <w:numPr>
          <w:ilvl w:val="0"/>
          <w:numId w:val="10"/>
        </w:numPr>
        <w:tabs>
          <w:tab w:val="left" w:pos="522"/>
        </w:tabs>
        <w:spacing w:before="0"/>
        <w:ind w:hanging="17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对技术复杂的货物，甲方应请国家认可的专业检测机构参与验收，并由其出具质量检测报告。</w:t>
      </w:r>
    </w:p>
    <w:p>
      <w:pPr>
        <w:pStyle w:val="18"/>
        <w:numPr>
          <w:ilvl w:val="0"/>
          <w:numId w:val="10"/>
        </w:numPr>
        <w:tabs>
          <w:tab w:val="left" w:pos="522"/>
        </w:tabs>
        <w:spacing w:before="22"/>
        <w:ind w:hanging="17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验收时乙方必须在现场，验收完毕后作出验收结果报告；验收费用由乙方负责。</w:t>
      </w:r>
    </w:p>
    <w:p>
      <w:pPr>
        <w:pStyle w:val="4"/>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十二、货物包装</w:t>
      </w:r>
    </w:p>
    <w:p>
      <w:pPr>
        <w:pStyle w:val="18"/>
        <w:numPr>
          <w:ilvl w:val="0"/>
          <w:numId w:val="11"/>
        </w:numPr>
        <w:tabs>
          <w:tab w:val="left" w:pos="522"/>
        </w:tabs>
        <w:spacing w:before="22"/>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乙方应在货物发运前对其进行满足运输距离、防潮、防震、防锈和防破损装卸等要求包装，以保证货物安全运达甲方指定地点。</w:t>
      </w:r>
    </w:p>
    <w:p>
      <w:pPr>
        <w:pStyle w:val="18"/>
        <w:numPr>
          <w:ilvl w:val="0"/>
          <w:numId w:val="11"/>
        </w:numPr>
        <w:tabs>
          <w:tab w:val="left" w:pos="522"/>
        </w:tabs>
        <w:spacing w:before="22"/>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ab/>
      </w:r>
      <w:r>
        <w:rPr>
          <w:rFonts w:hint="eastAsia" w:asciiTheme="minorEastAsia" w:hAnsiTheme="minorEastAsia" w:eastAsiaTheme="minorEastAsia" w:cstheme="minorEastAsia"/>
          <w:color w:val="000000" w:themeColor="text1"/>
          <w:sz w:val="24"/>
          <w:szCs w:val="24"/>
          <w14:textFill>
            <w14:solidFill>
              <w14:schemeClr w14:val="tx1"/>
            </w14:solidFill>
          </w14:textFill>
        </w:rPr>
        <w:t>使用说明书、质量检验证明书、随配附件和工具以及清单一并附于货物内。</w:t>
      </w:r>
    </w:p>
    <w:p>
      <w:pPr>
        <w:pStyle w:val="18"/>
        <w:tabs>
          <w:tab w:val="left" w:pos="522"/>
        </w:tabs>
        <w:ind w:left="0" w:right="4471" w:firstLine="0"/>
        <w:rPr>
          <w:rFonts w:hint="eastAsia" w:asciiTheme="minorEastAsia" w:hAnsiTheme="minorEastAsia" w:eastAsiaTheme="minorEastAsia" w:cstheme="minorEastAsia"/>
          <w:b/>
          <w:color w:val="000000" w:themeColor="text1"/>
          <w:sz w:val="24"/>
          <w:szCs w:val="24"/>
          <w14:textFill>
            <w14:solidFill>
              <w14:schemeClr w14:val="tx1"/>
            </w14:solidFill>
          </w14:textFill>
        </w:rPr>
      </w:pPr>
      <w:r>
        <w:rPr>
          <w:rFonts w:hint="eastAsia" w:asciiTheme="minorEastAsia" w:hAnsiTheme="minorEastAsia" w:eastAsiaTheme="minorEastAsia" w:cstheme="minorEastAsia"/>
          <w:b/>
          <w:color w:val="000000" w:themeColor="text1"/>
          <w:spacing w:val="10"/>
          <w:sz w:val="24"/>
          <w:szCs w:val="24"/>
          <w14:textFill>
            <w14:solidFill>
              <w14:schemeClr w14:val="tx1"/>
            </w14:solidFill>
          </w14:textFill>
        </w:rPr>
        <w:t>十三、违约责任</w:t>
      </w:r>
    </w:p>
    <w:p>
      <w:pPr>
        <w:pStyle w:val="18"/>
        <w:numPr>
          <w:ilvl w:val="0"/>
          <w:numId w:val="12"/>
        </w:numPr>
        <w:tabs>
          <w:tab w:val="left" w:pos="522"/>
        </w:tabs>
        <w:spacing w:before="0"/>
        <w:ind w:hanging="17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甲方无正当理由拒收货物的，甲方向乙方偿付拒收货款总值的</w:t>
      </w:r>
      <w:r>
        <w:rPr>
          <w:rFonts w:hint="eastAsia" w:asciiTheme="minorEastAsia" w:hAnsiTheme="minorEastAsia" w:eastAsiaTheme="minorEastAsia" w:cstheme="minorEastAsia"/>
          <w:color w:val="000000" w:themeColor="text1"/>
          <w:spacing w:val="3"/>
          <w:sz w:val="24"/>
          <w:szCs w:val="24"/>
          <w:u w:val="single" w:color="4068E0"/>
          <w14:textFill>
            <w14:solidFill>
              <w14:schemeClr w14:val="tx1"/>
            </w14:solidFill>
          </w14:textFill>
        </w:rPr>
        <w:t xml:space="preserve"> 百分之五</w:t>
      </w:r>
      <w:r>
        <w:rPr>
          <w:rFonts w:hint="eastAsia" w:asciiTheme="minorEastAsia" w:hAnsiTheme="minorEastAsia" w:eastAsiaTheme="minorEastAsia" w:cstheme="minorEastAsia"/>
          <w:color w:val="000000" w:themeColor="text1"/>
          <w:spacing w:val="45"/>
          <w:sz w:val="24"/>
          <w:szCs w:val="24"/>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14:textFill>
            <w14:solidFill>
              <w14:schemeClr w14:val="tx1"/>
            </w14:solidFill>
          </w14:textFill>
        </w:rPr>
        <w:t>违约金。</w:t>
      </w:r>
    </w:p>
    <w:p>
      <w:pPr>
        <w:pStyle w:val="18"/>
        <w:numPr>
          <w:ilvl w:val="0"/>
          <w:numId w:val="12"/>
        </w:numPr>
        <w:tabs>
          <w:tab w:val="left" w:pos="522"/>
        </w:tabs>
        <w:spacing w:before="117"/>
        <w:ind w:hanging="17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甲方无故逾期验收和办理货款支付手续的,甲方应按逾期付款总额每日</w:t>
      </w:r>
      <w:r>
        <w:rPr>
          <w:rFonts w:hint="eastAsia" w:asciiTheme="minorEastAsia" w:hAnsiTheme="minorEastAsia" w:eastAsiaTheme="minorEastAsia" w:cstheme="minorEastAsia"/>
          <w:color w:val="000000" w:themeColor="text1"/>
          <w:spacing w:val="2"/>
          <w:sz w:val="24"/>
          <w:szCs w:val="24"/>
          <w:u w:val="single" w:color="4068E0"/>
          <w14:textFill>
            <w14:solidFill>
              <w14:schemeClr w14:val="tx1"/>
            </w14:solidFill>
          </w14:textFill>
        </w:rPr>
        <w:t xml:space="preserve"> 万分之五</w:t>
      </w:r>
      <w:r>
        <w:rPr>
          <w:rFonts w:hint="eastAsia" w:asciiTheme="minorEastAsia" w:hAnsiTheme="minorEastAsia" w:eastAsiaTheme="minorEastAsia" w:cstheme="minorEastAsia"/>
          <w:color w:val="000000" w:themeColor="text1"/>
          <w:spacing w:val="43"/>
          <w:sz w:val="24"/>
          <w:szCs w:val="24"/>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14:textFill>
            <w14:solidFill>
              <w14:schemeClr w14:val="tx1"/>
            </w14:solidFill>
          </w14:textFill>
        </w:rPr>
        <w:t>向乙方支付违约金。</w:t>
      </w:r>
    </w:p>
    <w:p>
      <w:pPr>
        <w:pStyle w:val="18"/>
        <w:numPr>
          <w:ilvl w:val="0"/>
          <w:numId w:val="12"/>
        </w:numPr>
        <w:tabs>
          <w:tab w:val="left" w:pos="522"/>
        </w:tabs>
        <w:spacing w:before="118"/>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乙方逾期交付货物的，乙方应按逾期交货总额每日</w:t>
      </w:r>
      <w:r>
        <w:rPr>
          <w:rFonts w:hint="eastAsia" w:asciiTheme="minorEastAsia" w:hAnsiTheme="minorEastAsia" w:eastAsiaTheme="minorEastAsia" w:cstheme="minorEastAsia"/>
          <w:color w:val="000000" w:themeColor="text1"/>
          <w:spacing w:val="15"/>
          <w:sz w:val="24"/>
          <w:szCs w:val="24"/>
          <w:u w:val="single" w:color="4068E0"/>
          <w14:textFill>
            <w14:solidFill>
              <w14:schemeClr w14:val="tx1"/>
            </w14:solidFill>
          </w14:textFill>
        </w:rPr>
        <w:t xml:space="preserve"> 千分之六</w:t>
      </w:r>
      <w:r>
        <w:rPr>
          <w:rFonts w:hint="eastAsia" w:asciiTheme="minorEastAsia" w:hAnsiTheme="minorEastAsia" w:eastAsiaTheme="minorEastAsia" w:cstheme="minorEastAsia"/>
          <w:color w:val="000000" w:themeColor="text1"/>
          <w:spacing w:val="29"/>
          <w:sz w:val="24"/>
          <w:szCs w:val="24"/>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14:textFill>
            <w14:solidFill>
              <w14:schemeClr w14:val="tx1"/>
            </w14:solidFill>
          </w14:textFill>
        </w:rPr>
        <w:t>向甲方支付违约金，由甲方从待付货款中扣除。逾期超过约定日期   10 个工作日不能交货的，甲方可解除本合同。乙方因逾期交货或因其他违约行为导致甲方解除合同的，乙方应向甲方支付合同总值</w:t>
      </w:r>
      <w:r>
        <w:rPr>
          <w:rFonts w:hint="eastAsia" w:asciiTheme="minorEastAsia" w:hAnsiTheme="minorEastAsia" w:eastAsiaTheme="minorEastAsia" w:cstheme="minorEastAsia"/>
          <w:color w:val="000000" w:themeColor="text1"/>
          <w:sz w:val="24"/>
          <w:szCs w:val="24"/>
          <w:u w:val="single"/>
          <w14:textFill>
            <w14:solidFill>
              <w14:schemeClr w14:val="tx1"/>
            </w14:solidFill>
          </w14:textFill>
        </w:rPr>
        <w:t xml:space="preserve"> 5</w:t>
      </w:r>
      <w:r>
        <w:rPr>
          <w:rFonts w:hint="eastAsia" w:asciiTheme="minorEastAsia" w:hAnsiTheme="minorEastAsia" w:eastAsiaTheme="minorEastAsia" w:cstheme="minorEastAsia"/>
          <w:color w:val="000000" w:themeColor="text1"/>
          <w:sz w:val="24"/>
          <w:szCs w:val="24"/>
          <w14:textFill>
            <w14:solidFill>
              <w14:schemeClr w14:val="tx1"/>
            </w14:solidFill>
          </w14:textFill>
        </w:rPr>
        <w:t>%的违约金，如造成甲方损失超过违约金的，超出部分由乙方继续承担赔偿责任。</w:t>
      </w:r>
    </w:p>
    <w:p>
      <w:pPr>
        <w:pStyle w:val="18"/>
        <w:numPr>
          <w:ilvl w:val="0"/>
          <w:numId w:val="12"/>
        </w:numP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乙方所交的货物品种、型号、规格、技术参数、质量不符合合同规定及招标文件规定标准的，甲方有权拒收该货物，乙方愿意更换货物，但逾期交货的，按乙方逾期交货处理。乙方拒绝更换货物的，甲方可单方面解除合同。</w:t>
      </w:r>
    </w:p>
    <w:p>
      <w:pPr>
        <w:pStyle w:val="4"/>
        <w:spacing w:before="85"/>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十四、不可抗力事件处理</w:t>
      </w:r>
    </w:p>
    <w:p>
      <w:pPr>
        <w:pStyle w:val="18"/>
        <w:numPr>
          <w:ilvl w:val="0"/>
          <w:numId w:val="13"/>
        </w:numPr>
        <w:tabs>
          <w:tab w:val="left" w:pos="522"/>
        </w:tabs>
        <w:spacing w:before="106"/>
        <w:ind w:hanging="17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在合同有效期内，任何一方因不可抗力事件导致不能履行合同，双方协商后，则合同履行期可延长，其延长期与不可抗力影响期相同。</w:t>
      </w:r>
    </w:p>
    <w:p>
      <w:pPr>
        <w:pStyle w:val="18"/>
        <w:numPr>
          <w:ilvl w:val="0"/>
          <w:numId w:val="13"/>
        </w:numPr>
        <w:tabs>
          <w:tab w:val="left" w:pos="522"/>
        </w:tabs>
        <w:ind w:hanging="17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不可抗力事件发生后，应立即通知对方，并寄送有关权威机构出具的证明。</w:t>
      </w:r>
    </w:p>
    <w:p>
      <w:pPr>
        <w:pStyle w:val="18"/>
        <w:numPr>
          <w:ilvl w:val="0"/>
          <w:numId w:val="13"/>
        </w:numPr>
        <w:tabs>
          <w:tab w:val="left" w:pos="522"/>
        </w:tabs>
        <w:spacing w:before="22"/>
        <w:ind w:hanging="17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3"/>
          <w:sz w:val="24"/>
          <w:szCs w:val="24"/>
          <w14:textFill>
            <w14:solidFill>
              <w14:schemeClr w14:val="tx1"/>
            </w14:solidFill>
          </w14:textFill>
        </w:rPr>
        <w:t xml:space="preserve">不可抗力事件延续 </w:t>
      </w:r>
      <w:r>
        <w:rPr>
          <w:rFonts w:hint="eastAsia" w:asciiTheme="minorEastAsia" w:hAnsiTheme="minorEastAsia" w:eastAsiaTheme="minorEastAsia" w:cstheme="minorEastAsia"/>
          <w:color w:val="000000" w:themeColor="text1"/>
          <w:sz w:val="24"/>
          <w:szCs w:val="24"/>
          <w14:textFill>
            <w14:solidFill>
              <w14:schemeClr w14:val="tx1"/>
            </w14:solidFill>
          </w14:textFill>
        </w:rPr>
        <w:t>120天以上，双方可以通过友好协商，确定是否继续履行合同。</w:t>
      </w:r>
    </w:p>
    <w:p>
      <w:pPr>
        <w:pStyle w:val="4"/>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十五、诉讼</w:t>
      </w:r>
    </w:p>
    <w:p>
      <w:pPr>
        <w:pStyle w:val="3"/>
        <w:spacing w:before="22"/>
        <w:ind w:left="351"/>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双方在执行合同中所发生的一切争议，应通过协商解决。如协商不成，可向甲方所在地法院起诉。</w:t>
      </w:r>
    </w:p>
    <w:p>
      <w:pPr>
        <w:pStyle w:val="4"/>
        <w:spacing w:before="107"/>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十六、合同生效及其它</w:t>
      </w:r>
    </w:p>
    <w:p>
      <w:pPr>
        <w:pStyle w:val="18"/>
        <w:numPr>
          <w:ilvl w:val="0"/>
          <w:numId w:val="14"/>
        </w:numPr>
        <w:tabs>
          <w:tab w:val="left" w:pos="522"/>
        </w:tabs>
        <w:ind w:hanging="17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本合同经甲、乙双方签字并加盖单位公章后生效。</w:t>
      </w:r>
    </w:p>
    <w:p>
      <w:pPr>
        <w:pStyle w:val="18"/>
        <w:numPr>
          <w:ilvl w:val="0"/>
          <w:numId w:val="14"/>
        </w:numPr>
        <w:tabs>
          <w:tab w:val="left" w:pos="522"/>
        </w:tabs>
        <w:ind w:left="111" w:right="101" w:firstLine="24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招标文件、投标文件、项目采购协议或入围承诺书与本合同具有同等法律效力。如前述各项文件之间约定不一致的，应以最新签署的文件内容为准。</w:t>
      </w:r>
    </w:p>
    <w:p>
      <w:pPr>
        <w:pStyle w:val="18"/>
        <w:numPr>
          <w:ilvl w:val="0"/>
          <w:numId w:val="14"/>
        </w:numPr>
        <w:tabs>
          <w:tab w:val="left" w:pos="522"/>
        </w:tabs>
        <w:spacing w:before="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本合同未尽事宜，以招投标文件为准。</w:t>
      </w:r>
    </w:p>
    <w:p>
      <w:pPr>
        <w:pStyle w:val="18"/>
        <w:numPr>
          <w:ilvl w:val="0"/>
          <w:numId w:val="14"/>
        </w:num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本合同一式三份，甲方执二份，乙方执一份，具有同等法律效力。</w:t>
      </w:r>
    </w:p>
    <w:p>
      <w:pPr>
        <w:pStyle w:val="18"/>
        <w:numPr>
          <w:ilvl w:val="0"/>
          <w:numId w:val="14"/>
        </w:num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附件设备配置清单系本合同不可分割的组成部分，与本合同具有同等法律效力。</w:t>
      </w:r>
    </w:p>
    <w:p>
      <w:pPr>
        <w:pStyle w:val="3"/>
        <w:spacing w:before="106" w:line="264" w:lineRule="auto"/>
        <w:ind w:left="105" w:right="209"/>
        <w:rPr>
          <w:rFonts w:hint="eastAsia" w:asciiTheme="minorEastAsia" w:hAnsiTheme="minorEastAsia" w:eastAsiaTheme="minorEastAsia" w:cstheme="minorEastAsia"/>
          <w:sz w:val="24"/>
          <w:szCs w:val="24"/>
        </w:rPr>
      </w:pPr>
    </w:p>
    <w:p>
      <w:pPr>
        <w:pStyle w:val="3"/>
        <w:spacing w:before="106" w:line="264" w:lineRule="auto"/>
        <w:ind w:left="105" w:right="209"/>
        <w:rPr>
          <w:rFonts w:hint="eastAsia" w:asciiTheme="minorEastAsia" w:hAnsiTheme="minorEastAsia" w:eastAsiaTheme="minorEastAsia" w:cstheme="minorEastAsia"/>
          <w:sz w:val="24"/>
          <w:szCs w:val="24"/>
        </w:rPr>
      </w:pPr>
    </w:p>
    <w:p>
      <w:pPr>
        <w:pStyle w:val="3"/>
        <w:spacing w:before="106" w:line="264" w:lineRule="auto"/>
        <w:ind w:left="105" w:right="209"/>
        <w:rPr>
          <w:rFonts w:hint="eastAsia" w:asciiTheme="minorEastAsia" w:hAnsiTheme="minorEastAsia" w:eastAsiaTheme="minorEastAsia" w:cstheme="minorEastAsia"/>
          <w:sz w:val="24"/>
          <w:szCs w:val="24"/>
        </w:rPr>
      </w:pPr>
    </w:p>
    <w:p>
      <w:pPr>
        <w:pStyle w:val="3"/>
        <w:spacing w:before="106" w:line="264" w:lineRule="auto"/>
        <w:ind w:left="105" w:right="209"/>
        <w:rPr>
          <w:rFonts w:hint="eastAsia" w:asciiTheme="minorEastAsia" w:hAnsiTheme="minorEastAsia" w:eastAsiaTheme="minorEastAsia" w:cstheme="minorEastAsia"/>
          <w:sz w:val="24"/>
          <w:szCs w:val="24"/>
        </w:rPr>
      </w:pPr>
    </w:p>
    <w:p>
      <w:pPr>
        <w:pStyle w:val="3"/>
        <w:spacing w:before="106" w:line="264" w:lineRule="auto"/>
        <w:ind w:left="105" w:right="209"/>
        <w:rPr>
          <w:rFonts w:hint="eastAsia" w:asciiTheme="minorEastAsia" w:hAnsiTheme="minorEastAsia" w:eastAsiaTheme="minorEastAsia" w:cstheme="minorEastAsia"/>
          <w:sz w:val="24"/>
          <w:szCs w:val="24"/>
        </w:rPr>
      </w:pPr>
    </w:p>
    <w:p>
      <w:pPr>
        <w:pStyle w:val="3"/>
        <w:spacing w:before="106" w:line="264" w:lineRule="auto"/>
        <w:ind w:left="105" w:right="209"/>
        <w:rPr>
          <w:rFonts w:hint="eastAsia" w:asciiTheme="minorEastAsia" w:hAnsiTheme="minorEastAsia" w:eastAsiaTheme="minorEastAsia" w:cstheme="minorEastAsia"/>
          <w:sz w:val="24"/>
          <w:szCs w:val="24"/>
        </w:rPr>
      </w:pPr>
    </w:p>
    <w:p>
      <w:pPr>
        <w:pStyle w:val="3"/>
        <w:spacing w:before="106" w:line="264" w:lineRule="auto"/>
        <w:ind w:left="105" w:right="20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甲方（盖章）： 温州市中医院</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 xml:space="preserve">              乙方（盖章）：  </w:t>
      </w:r>
    </w:p>
    <w:p>
      <w:pPr>
        <w:pStyle w:val="3"/>
        <w:spacing w:before="106" w:line="264" w:lineRule="auto"/>
        <w:ind w:left="105" w:right="20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地址：温州市六虹桥路蛟尾路9号                     地址：                                                                                           </w:t>
      </w:r>
    </w:p>
    <w:p>
      <w:pPr>
        <w:pStyle w:val="3"/>
        <w:spacing w:before="106" w:line="264" w:lineRule="auto"/>
        <w:ind w:left="105" w:right="20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法定（授权）代表人：                              法定（授权）代表人： </w:t>
      </w:r>
    </w:p>
    <w:p>
      <w:pPr>
        <w:pStyle w:val="3"/>
        <w:spacing w:before="106" w:line="264" w:lineRule="auto"/>
        <w:ind w:left="105" w:right="20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签字日期：    年    月    日                      签字日期：    年   月   日</w:t>
      </w:r>
    </w:p>
    <w:p>
      <w:pPr>
        <w:widowControl/>
        <w:jc w:val="left"/>
        <w:rPr>
          <w:rFonts w:hint="eastAsia" w:asciiTheme="minorEastAsia" w:hAnsiTheme="minorEastAsia" w:eastAsiaTheme="minorEastAsia" w:cstheme="minorEastAsia"/>
          <w:kern w:val="0"/>
          <w:sz w:val="24"/>
          <w:szCs w:val="24"/>
          <w:lang w:val="zh-CN" w:bidi="zh-CN"/>
        </w:rPr>
      </w:pPr>
      <w:r>
        <w:rPr>
          <w:rFonts w:hint="eastAsia" w:asciiTheme="minorEastAsia" w:hAnsiTheme="minorEastAsia" w:eastAsiaTheme="minorEastAsia" w:cstheme="minorEastAsia"/>
          <w:sz w:val="24"/>
          <w:szCs w:val="24"/>
        </w:rPr>
        <w:br w:type="page"/>
      </w:r>
    </w:p>
    <w:p>
      <w:pPr>
        <w:jc w:val="center"/>
        <w:rPr>
          <w:b/>
          <w:sz w:val="36"/>
          <w:szCs w:val="36"/>
        </w:rPr>
      </w:pPr>
      <w:r>
        <w:rPr>
          <w:rFonts w:hint="eastAsia"/>
          <w:b/>
          <w:sz w:val="36"/>
          <w:szCs w:val="36"/>
        </w:rPr>
        <w:t>设备配置清单</w:t>
      </w:r>
    </w:p>
    <w:p>
      <w:pPr>
        <w:pStyle w:val="3"/>
        <w:rPr>
          <w:sz w:val="20"/>
        </w:rPr>
      </w:pPr>
    </w:p>
    <w:tbl>
      <w:tblPr>
        <w:tblStyle w:val="10"/>
        <w:tblpPr w:leftFromText="180" w:rightFromText="180" w:vertAnchor="text" w:horzAnchor="margin" w:tblpXSpec="center" w:tblpY="357"/>
        <w:tblOverlap w:val="never"/>
        <w:tblW w:w="919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04"/>
        <w:gridCol w:w="992"/>
        <w:gridCol w:w="2934"/>
        <w:gridCol w:w="1815"/>
        <w:gridCol w:w="705"/>
        <w:gridCol w:w="1110"/>
        <w:gridCol w:w="93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04" w:type="dxa"/>
          </w:tcPr>
          <w:p>
            <w:pPr>
              <w:jc w:val="center"/>
              <w:rPr>
                <w:b/>
                <w:sz w:val="21"/>
                <w:szCs w:val="21"/>
              </w:rPr>
            </w:pPr>
            <w:r>
              <w:rPr>
                <w:rFonts w:hint="eastAsia"/>
                <w:b/>
                <w:sz w:val="21"/>
                <w:szCs w:val="21"/>
              </w:rPr>
              <w:t>序号</w:t>
            </w:r>
          </w:p>
        </w:tc>
        <w:tc>
          <w:tcPr>
            <w:tcW w:w="992" w:type="dxa"/>
            <w:vAlign w:val="center"/>
          </w:tcPr>
          <w:p>
            <w:pPr>
              <w:jc w:val="center"/>
              <w:rPr>
                <w:b/>
                <w:sz w:val="21"/>
                <w:szCs w:val="21"/>
              </w:rPr>
            </w:pPr>
            <w:r>
              <w:rPr>
                <w:rFonts w:hint="eastAsia"/>
                <w:b/>
                <w:sz w:val="21"/>
                <w:szCs w:val="21"/>
              </w:rPr>
              <w:t>品牌</w:t>
            </w:r>
          </w:p>
        </w:tc>
        <w:tc>
          <w:tcPr>
            <w:tcW w:w="2934" w:type="dxa"/>
            <w:vAlign w:val="center"/>
          </w:tcPr>
          <w:p>
            <w:pPr>
              <w:jc w:val="center"/>
              <w:rPr>
                <w:b/>
                <w:sz w:val="21"/>
                <w:szCs w:val="21"/>
              </w:rPr>
            </w:pPr>
            <w:r>
              <w:rPr>
                <w:rFonts w:hint="eastAsia"/>
                <w:b/>
                <w:sz w:val="21"/>
                <w:szCs w:val="21"/>
              </w:rPr>
              <w:t>产品名称</w:t>
            </w:r>
          </w:p>
        </w:tc>
        <w:tc>
          <w:tcPr>
            <w:tcW w:w="1815" w:type="dxa"/>
            <w:vAlign w:val="center"/>
          </w:tcPr>
          <w:p>
            <w:pPr>
              <w:jc w:val="center"/>
              <w:rPr>
                <w:b/>
                <w:sz w:val="21"/>
                <w:szCs w:val="21"/>
              </w:rPr>
            </w:pPr>
            <w:r>
              <w:rPr>
                <w:rFonts w:hint="eastAsia"/>
                <w:b/>
                <w:sz w:val="21"/>
                <w:szCs w:val="21"/>
              </w:rPr>
              <w:t>规格型号</w:t>
            </w:r>
          </w:p>
        </w:tc>
        <w:tc>
          <w:tcPr>
            <w:tcW w:w="705" w:type="dxa"/>
            <w:vAlign w:val="center"/>
          </w:tcPr>
          <w:p>
            <w:pPr>
              <w:jc w:val="center"/>
              <w:rPr>
                <w:b/>
                <w:sz w:val="21"/>
                <w:szCs w:val="21"/>
              </w:rPr>
            </w:pPr>
            <w:r>
              <w:rPr>
                <w:rFonts w:hint="eastAsia"/>
                <w:b/>
                <w:sz w:val="21"/>
                <w:szCs w:val="21"/>
              </w:rPr>
              <w:t>数量</w:t>
            </w:r>
          </w:p>
        </w:tc>
        <w:tc>
          <w:tcPr>
            <w:tcW w:w="1110" w:type="dxa"/>
            <w:vAlign w:val="center"/>
          </w:tcPr>
          <w:p>
            <w:pPr>
              <w:jc w:val="center"/>
              <w:rPr>
                <w:b/>
                <w:sz w:val="21"/>
                <w:szCs w:val="21"/>
              </w:rPr>
            </w:pPr>
            <w:r>
              <w:rPr>
                <w:rFonts w:hint="eastAsia"/>
                <w:b/>
                <w:sz w:val="21"/>
                <w:szCs w:val="21"/>
              </w:rPr>
              <w:t>金额（元）</w:t>
            </w:r>
          </w:p>
        </w:tc>
        <w:tc>
          <w:tcPr>
            <w:tcW w:w="930" w:type="dxa"/>
            <w:vAlign w:val="center"/>
          </w:tcPr>
          <w:p>
            <w:pPr>
              <w:jc w:val="center"/>
              <w:rPr>
                <w:b/>
                <w:sz w:val="21"/>
                <w:szCs w:val="21"/>
              </w:rPr>
            </w:pPr>
            <w:r>
              <w:rPr>
                <w:rFonts w:hint="eastAsia"/>
                <w:b/>
                <w:sz w:val="21"/>
                <w:szCs w:val="21"/>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21"/>
                <w:szCs w:val="21"/>
              </w:rPr>
            </w:pPr>
            <w:r>
              <w:rPr>
                <w:rFonts w:hint="eastAsia"/>
                <w:sz w:val="21"/>
                <w:szCs w:val="21"/>
              </w:rPr>
              <w:t>1</w:t>
            </w:r>
          </w:p>
        </w:tc>
        <w:tc>
          <w:tcPr>
            <w:tcW w:w="992" w:type="dxa"/>
            <w:vAlign w:val="center"/>
          </w:tcPr>
          <w:p>
            <w:pPr>
              <w:tabs>
                <w:tab w:val="left" w:pos="1418"/>
              </w:tabs>
              <w:snapToGrid w:val="0"/>
              <w:spacing w:before="50" w:after="50" w:line="276" w:lineRule="auto"/>
              <w:jc w:val="center"/>
              <w:rPr>
                <w:spacing w:val="20"/>
                <w:sz w:val="21"/>
                <w:szCs w:val="21"/>
              </w:rPr>
            </w:pPr>
          </w:p>
        </w:tc>
        <w:tc>
          <w:tcPr>
            <w:tcW w:w="2934" w:type="dxa"/>
            <w:vAlign w:val="center"/>
          </w:tcPr>
          <w:p>
            <w:pPr>
              <w:tabs>
                <w:tab w:val="left" w:pos="1418"/>
              </w:tabs>
              <w:snapToGrid w:val="0"/>
              <w:spacing w:before="50" w:after="50" w:line="276" w:lineRule="auto"/>
              <w:jc w:val="center"/>
              <w:rPr>
                <w:spacing w:val="20"/>
                <w:sz w:val="21"/>
                <w:szCs w:val="21"/>
              </w:rPr>
            </w:pPr>
          </w:p>
        </w:tc>
        <w:tc>
          <w:tcPr>
            <w:tcW w:w="1815" w:type="dxa"/>
            <w:vAlign w:val="center"/>
          </w:tcPr>
          <w:p>
            <w:pPr>
              <w:rPr>
                <w:sz w:val="21"/>
                <w:szCs w:val="21"/>
              </w:rPr>
            </w:pPr>
          </w:p>
        </w:tc>
        <w:tc>
          <w:tcPr>
            <w:tcW w:w="705" w:type="dxa"/>
          </w:tcPr>
          <w:p>
            <w:pPr>
              <w:rPr>
                <w:sz w:val="21"/>
                <w:szCs w:val="21"/>
              </w:rPr>
            </w:pPr>
          </w:p>
        </w:tc>
        <w:tc>
          <w:tcPr>
            <w:tcW w:w="1110" w:type="dxa"/>
            <w:vAlign w:val="center"/>
          </w:tcPr>
          <w:p>
            <w:pPr>
              <w:tabs>
                <w:tab w:val="left" w:pos="1418"/>
              </w:tabs>
              <w:snapToGrid w:val="0"/>
              <w:spacing w:before="50" w:after="50" w:line="276" w:lineRule="auto"/>
              <w:jc w:val="center"/>
              <w:rPr>
                <w:sz w:val="21"/>
                <w:szCs w:val="21"/>
              </w:rPr>
            </w:pPr>
          </w:p>
        </w:tc>
        <w:tc>
          <w:tcPr>
            <w:tcW w:w="930" w:type="dxa"/>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21"/>
                <w:szCs w:val="21"/>
              </w:rPr>
            </w:pPr>
            <w:r>
              <w:rPr>
                <w:rFonts w:hint="eastAsia"/>
                <w:sz w:val="21"/>
                <w:szCs w:val="21"/>
              </w:rPr>
              <w:t>2</w:t>
            </w:r>
          </w:p>
        </w:tc>
        <w:tc>
          <w:tcPr>
            <w:tcW w:w="992" w:type="dxa"/>
            <w:vAlign w:val="center"/>
          </w:tcPr>
          <w:p>
            <w:pPr>
              <w:tabs>
                <w:tab w:val="left" w:pos="1418"/>
              </w:tabs>
              <w:snapToGrid w:val="0"/>
              <w:spacing w:before="50" w:after="50" w:line="276" w:lineRule="auto"/>
              <w:jc w:val="center"/>
              <w:rPr>
                <w:spacing w:val="20"/>
                <w:sz w:val="21"/>
                <w:szCs w:val="21"/>
              </w:rPr>
            </w:pPr>
          </w:p>
        </w:tc>
        <w:tc>
          <w:tcPr>
            <w:tcW w:w="2934" w:type="dxa"/>
            <w:vAlign w:val="center"/>
          </w:tcPr>
          <w:p>
            <w:pPr>
              <w:tabs>
                <w:tab w:val="left" w:pos="1418"/>
              </w:tabs>
              <w:snapToGrid w:val="0"/>
              <w:spacing w:before="50" w:after="50" w:line="276" w:lineRule="auto"/>
              <w:jc w:val="center"/>
              <w:rPr>
                <w:spacing w:val="20"/>
                <w:sz w:val="21"/>
                <w:szCs w:val="21"/>
              </w:rPr>
            </w:pPr>
          </w:p>
        </w:tc>
        <w:tc>
          <w:tcPr>
            <w:tcW w:w="1815" w:type="dxa"/>
            <w:vAlign w:val="center"/>
          </w:tcPr>
          <w:p>
            <w:pPr>
              <w:rPr>
                <w:sz w:val="21"/>
                <w:szCs w:val="21"/>
              </w:rPr>
            </w:pPr>
          </w:p>
        </w:tc>
        <w:tc>
          <w:tcPr>
            <w:tcW w:w="705" w:type="dxa"/>
          </w:tcPr>
          <w:p>
            <w:pPr>
              <w:rPr>
                <w:sz w:val="21"/>
                <w:szCs w:val="21"/>
              </w:rPr>
            </w:pPr>
          </w:p>
        </w:tc>
        <w:tc>
          <w:tcPr>
            <w:tcW w:w="1110" w:type="dxa"/>
            <w:vAlign w:val="center"/>
          </w:tcPr>
          <w:p>
            <w:pPr>
              <w:tabs>
                <w:tab w:val="left" w:pos="1418"/>
              </w:tabs>
              <w:snapToGrid w:val="0"/>
              <w:spacing w:before="50" w:after="50" w:line="276" w:lineRule="auto"/>
              <w:jc w:val="center"/>
              <w:rPr>
                <w:sz w:val="21"/>
                <w:szCs w:val="21"/>
              </w:rPr>
            </w:pPr>
          </w:p>
        </w:tc>
        <w:tc>
          <w:tcPr>
            <w:tcW w:w="930" w:type="dxa"/>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21"/>
                <w:szCs w:val="21"/>
              </w:rPr>
            </w:pPr>
            <w:r>
              <w:rPr>
                <w:rFonts w:hint="eastAsia"/>
                <w:sz w:val="21"/>
                <w:szCs w:val="21"/>
              </w:rPr>
              <w:t>3</w:t>
            </w:r>
          </w:p>
        </w:tc>
        <w:tc>
          <w:tcPr>
            <w:tcW w:w="992" w:type="dxa"/>
            <w:vAlign w:val="center"/>
          </w:tcPr>
          <w:p>
            <w:pPr>
              <w:tabs>
                <w:tab w:val="left" w:pos="1418"/>
              </w:tabs>
              <w:snapToGrid w:val="0"/>
              <w:spacing w:before="50" w:after="50" w:line="276" w:lineRule="auto"/>
              <w:jc w:val="center"/>
              <w:rPr>
                <w:spacing w:val="20"/>
                <w:sz w:val="21"/>
                <w:szCs w:val="21"/>
              </w:rPr>
            </w:pPr>
          </w:p>
        </w:tc>
        <w:tc>
          <w:tcPr>
            <w:tcW w:w="2934" w:type="dxa"/>
            <w:vAlign w:val="center"/>
          </w:tcPr>
          <w:p>
            <w:pPr>
              <w:tabs>
                <w:tab w:val="left" w:pos="1418"/>
              </w:tabs>
              <w:snapToGrid w:val="0"/>
              <w:spacing w:before="50" w:after="50" w:line="276" w:lineRule="auto"/>
              <w:jc w:val="center"/>
              <w:rPr>
                <w:spacing w:val="20"/>
                <w:sz w:val="21"/>
                <w:szCs w:val="21"/>
              </w:rPr>
            </w:pPr>
          </w:p>
        </w:tc>
        <w:tc>
          <w:tcPr>
            <w:tcW w:w="1815" w:type="dxa"/>
            <w:vAlign w:val="center"/>
          </w:tcPr>
          <w:p>
            <w:pPr>
              <w:rPr>
                <w:sz w:val="21"/>
                <w:szCs w:val="21"/>
              </w:rPr>
            </w:pPr>
          </w:p>
        </w:tc>
        <w:tc>
          <w:tcPr>
            <w:tcW w:w="705" w:type="dxa"/>
          </w:tcPr>
          <w:p>
            <w:pPr>
              <w:rPr>
                <w:sz w:val="21"/>
                <w:szCs w:val="21"/>
              </w:rPr>
            </w:pPr>
          </w:p>
        </w:tc>
        <w:tc>
          <w:tcPr>
            <w:tcW w:w="1110" w:type="dxa"/>
            <w:vAlign w:val="center"/>
          </w:tcPr>
          <w:p>
            <w:pPr>
              <w:tabs>
                <w:tab w:val="left" w:pos="1418"/>
              </w:tabs>
              <w:snapToGrid w:val="0"/>
              <w:spacing w:before="50" w:after="50" w:line="276" w:lineRule="auto"/>
              <w:jc w:val="center"/>
              <w:rPr>
                <w:sz w:val="21"/>
                <w:szCs w:val="21"/>
              </w:rPr>
            </w:pPr>
          </w:p>
        </w:tc>
        <w:tc>
          <w:tcPr>
            <w:tcW w:w="930" w:type="dxa"/>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21"/>
                <w:szCs w:val="21"/>
              </w:rPr>
            </w:pPr>
            <w:r>
              <w:rPr>
                <w:rFonts w:hint="eastAsia"/>
                <w:sz w:val="21"/>
                <w:szCs w:val="21"/>
              </w:rPr>
              <w:t>4</w:t>
            </w:r>
          </w:p>
        </w:tc>
        <w:tc>
          <w:tcPr>
            <w:tcW w:w="992" w:type="dxa"/>
            <w:vAlign w:val="center"/>
          </w:tcPr>
          <w:p>
            <w:pPr>
              <w:tabs>
                <w:tab w:val="left" w:pos="1418"/>
              </w:tabs>
              <w:snapToGrid w:val="0"/>
              <w:spacing w:before="50" w:after="50" w:line="276" w:lineRule="auto"/>
              <w:jc w:val="center"/>
              <w:rPr>
                <w:spacing w:val="20"/>
                <w:sz w:val="21"/>
                <w:szCs w:val="21"/>
              </w:rPr>
            </w:pPr>
          </w:p>
        </w:tc>
        <w:tc>
          <w:tcPr>
            <w:tcW w:w="2934" w:type="dxa"/>
            <w:vAlign w:val="center"/>
          </w:tcPr>
          <w:p>
            <w:pPr>
              <w:tabs>
                <w:tab w:val="left" w:pos="1418"/>
              </w:tabs>
              <w:snapToGrid w:val="0"/>
              <w:spacing w:before="50" w:after="50" w:line="276" w:lineRule="auto"/>
              <w:jc w:val="center"/>
              <w:rPr>
                <w:spacing w:val="20"/>
                <w:sz w:val="21"/>
                <w:szCs w:val="21"/>
              </w:rPr>
            </w:pPr>
          </w:p>
        </w:tc>
        <w:tc>
          <w:tcPr>
            <w:tcW w:w="1815" w:type="dxa"/>
            <w:vAlign w:val="center"/>
          </w:tcPr>
          <w:p>
            <w:pPr>
              <w:rPr>
                <w:sz w:val="21"/>
                <w:szCs w:val="21"/>
              </w:rPr>
            </w:pPr>
          </w:p>
        </w:tc>
        <w:tc>
          <w:tcPr>
            <w:tcW w:w="705" w:type="dxa"/>
          </w:tcPr>
          <w:p>
            <w:pPr>
              <w:rPr>
                <w:sz w:val="21"/>
                <w:szCs w:val="21"/>
              </w:rPr>
            </w:pPr>
          </w:p>
        </w:tc>
        <w:tc>
          <w:tcPr>
            <w:tcW w:w="1110" w:type="dxa"/>
            <w:vAlign w:val="center"/>
          </w:tcPr>
          <w:p>
            <w:pPr>
              <w:tabs>
                <w:tab w:val="left" w:pos="1418"/>
              </w:tabs>
              <w:snapToGrid w:val="0"/>
              <w:spacing w:before="50" w:after="50" w:line="276" w:lineRule="auto"/>
              <w:jc w:val="center"/>
              <w:rPr>
                <w:sz w:val="21"/>
                <w:szCs w:val="21"/>
              </w:rPr>
            </w:pPr>
          </w:p>
        </w:tc>
        <w:tc>
          <w:tcPr>
            <w:tcW w:w="930" w:type="dxa"/>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21"/>
                <w:szCs w:val="21"/>
              </w:rPr>
            </w:pPr>
            <w:r>
              <w:rPr>
                <w:rFonts w:hint="eastAsia"/>
                <w:sz w:val="21"/>
                <w:szCs w:val="21"/>
              </w:rPr>
              <w:t>5</w:t>
            </w:r>
          </w:p>
        </w:tc>
        <w:tc>
          <w:tcPr>
            <w:tcW w:w="992" w:type="dxa"/>
            <w:vAlign w:val="center"/>
          </w:tcPr>
          <w:p>
            <w:pPr>
              <w:tabs>
                <w:tab w:val="left" w:pos="1418"/>
              </w:tabs>
              <w:snapToGrid w:val="0"/>
              <w:spacing w:before="50" w:after="50" w:line="276" w:lineRule="auto"/>
              <w:jc w:val="center"/>
              <w:rPr>
                <w:spacing w:val="20"/>
                <w:sz w:val="21"/>
                <w:szCs w:val="21"/>
              </w:rPr>
            </w:pPr>
          </w:p>
        </w:tc>
        <w:tc>
          <w:tcPr>
            <w:tcW w:w="2934" w:type="dxa"/>
            <w:vAlign w:val="center"/>
          </w:tcPr>
          <w:p>
            <w:pPr>
              <w:tabs>
                <w:tab w:val="left" w:pos="1418"/>
              </w:tabs>
              <w:snapToGrid w:val="0"/>
              <w:spacing w:before="50" w:after="50" w:line="276" w:lineRule="auto"/>
              <w:jc w:val="center"/>
              <w:rPr>
                <w:spacing w:val="20"/>
                <w:sz w:val="21"/>
                <w:szCs w:val="21"/>
              </w:rPr>
            </w:pPr>
          </w:p>
        </w:tc>
        <w:tc>
          <w:tcPr>
            <w:tcW w:w="1815" w:type="dxa"/>
            <w:vAlign w:val="center"/>
          </w:tcPr>
          <w:p>
            <w:pPr>
              <w:rPr>
                <w:sz w:val="21"/>
                <w:szCs w:val="21"/>
              </w:rPr>
            </w:pPr>
          </w:p>
        </w:tc>
        <w:tc>
          <w:tcPr>
            <w:tcW w:w="705" w:type="dxa"/>
          </w:tcPr>
          <w:p>
            <w:pPr>
              <w:rPr>
                <w:sz w:val="21"/>
                <w:szCs w:val="21"/>
              </w:rPr>
            </w:pPr>
          </w:p>
        </w:tc>
        <w:tc>
          <w:tcPr>
            <w:tcW w:w="1110" w:type="dxa"/>
            <w:vAlign w:val="center"/>
          </w:tcPr>
          <w:p>
            <w:pPr>
              <w:tabs>
                <w:tab w:val="left" w:pos="1418"/>
              </w:tabs>
              <w:snapToGrid w:val="0"/>
              <w:spacing w:before="50" w:after="50" w:line="276" w:lineRule="auto"/>
              <w:jc w:val="center"/>
              <w:rPr>
                <w:sz w:val="21"/>
                <w:szCs w:val="21"/>
              </w:rPr>
            </w:pPr>
          </w:p>
        </w:tc>
        <w:tc>
          <w:tcPr>
            <w:tcW w:w="930" w:type="dxa"/>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21"/>
                <w:szCs w:val="21"/>
              </w:rPr>
            </w:pPr>
            <w:r>
              <w:rPr>
                <w:rFonts w:hint="eastAsia"/>
                <w:sz w:val="21"/>
                <w:szCs w:val="21"/>
              </w:rPr>
              <w:t>6</w:t>
            </w:r>
          </w:p>
        </w:tc>
        <w:tc>
          <w:tcPr>
            <w:tcW w:w="992" w:type="dxa"/>
            <w:vAlign w:val="center"/>
          </w:tcPr>
          <w:p>
            <w:pPr>
              <w:tabs>
                <w:tab w:val="left" w:pos="1418"/>
              </w:tabs>
              <w:snapToGrid w:val="0"/>
              <w:spacing w:before="50" w:after="50" w:line="276" w:lineRule="auto"/>
              <w:jc w:val="center"/>
              <w:rPr>
                <w:spacing w:val="20"/>
                <w:sz w:val="21"/>
                <w:szCs w:val="21"/>
              </w:rPr>
            </w:pPr>
          </w:p>
        </w:tc>
        <w:tc>
          <w:tcPr>
            <w:tcW w:w="2934" w:type="dxa"/>
            <w:vAlign w:val="center"/>
          </w:tcPr>
          <w:p>
            <w:pPr>
              <w:tabs>
                <w:tab w:val="left" w:pos="1418"/>
              </w:tabs>
              <w:snapToGrid w:val="0"/>
              <w:spacing w:before="50" w:after="50" w:line="276" w:lineRule="auto"/>
              <w:jc w:val="center"/>
              <w:rPr>
                <w:spacing w:val="20"/>
                <w:sz w:val="21"/>
                <w:szCs w:val="21"/>
              </w:rPr>
            </w:pPr>
          </w:p>
        </w:tc>
        <w:tc>
          <w:tcPr>
            <w:tcW w:w="1815" w:type="dxa"/>
            <w:vAlign w:val="center"/>
          </w:tcPr>
          <w:p>
            <w:pPr>
              <w:rPr>
                <w:sz w:val="21"/>
                <w:szCs w:val="21"/>
              </w:rPr>
            </w:pPr>
          </w:p>
        </w:tc>
        <w:tc>
          <w:tcPr>
            <w:tcW w:w="705" w:type="dxa"/>
          </w:tcPr>
          <w:p>
            <w:pPr>
              <w:rPr>
                <w:sz w:val="21"/>
                <w:szCs w:val="21"/>
              </w:rPr>
            </w:pPr>
          </w:p>
        </w:tc>
        <w:tc>
          <w:tcPr>
            <w:tcW w:w="1110" w:type="dxa"/>
            <w:vAlign w:val="center"/>
          </w:tcPr>
          <w:p>
            <w:pPr>
              <w:tabs>
                <w:tab w:val="left" w:pos="1418"/>
              </w:tabs>
              <w:snapToGrid w:val="0"/>
              <w:spacing w:before="50" w:after="50" w:line="276" w:lineRule="auto"/>
              <w:jc w:val="center"/>
              <w:rPr>
                <w:sz w:val="21"/>
                <w:szCs w:val="21"/>
              </w:rPr>
            </w:pPr>
          </w:p>
        </w:tc>
        <w:tc>
          <w:tcPr>
            <w:tcW w:w="930" w:type="dxa"/>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21"/>
                <w:szCs w:val="21"/>
              </w:rPr>
            </w:pPr>
            <w:r>
              <w:rPr>
                <w:rFonts w:hint="eastAsia"/>
                <w:sz w:val="21"/>
                <w:szCs w:val="21"/>
              </w:rPr>
              <w:t>7</w:t>
            </w:r>
          </w:p>
        </w:tc>
        <w:tc>
          <w:tcPr>
            <w:tcW w:w="992" w:type="dxa"/>
            <w:vAlign w:val="center"/>
          </w:tcPr>
          <w:p>
            <w:pPr>
              <w:tabs>
                <w:tab w:val="left" w:pos="1418"/>
              </w:tabs>
              <w:snapToGrid w:val="0"/>
              <w:spacing w:before="50" w:after="50" w:line="276" w:lineRule="auto"/>
              <w:jc w:val="center"/>
              <w:rPr>
                <w:spacing w:val="20"/>
                <w:sz w:val="21"/>
                <w:szCs w:val="21"/>
              </w:rPr>
            </w:pPr>
          </w:p>
        </w:tc>
        <w:tc>
          <w:tcPr>
            <w:tcW w:w="2934" w:type="dxa"/>
            <w:vAlign w:val="center"/>
          </w:tcPr>
          <w:p>
            <w:pPr>
              <w:tabs>
                <w:tab w:val="left" w:pos="1418"/>
              </w:tabs>
              <w:snapToGrid w:val="0"/>
              <w:spacing w:before="50" w:after="50" w:line="276" w:lineRule="auto"/>
              <w:jc w:val="center"/>
              <w:rPr>
                <w:spacing w:val="20"/>
                <w:sz w:val="21"/>
                <w:szCs w:val="21"/>
              </w:rPr>
            </w:pPr>
          </w:p>
        </w:tc>
        <w:tc>
          <w:tcPr>
            <w:tcW w:w="1815" w:type="dxa"/>
            <w:vAlign w:val="center"/>
          </w:tcPr>
          <w:p>
            <w:pPr>
              <w:rPr>
                <w:sz w:val="21"/>
                <w:szCs w:val="21"/>
              </w:rPr>
            </w:pPr>
          </w:p>
        </w:tc>
        <w:tc>
          <w:tcPr>
            <w:tcW w:w="705" w:type="dxa"/>
          </w:tcPr>
          <w:p>
            <w:pPr>
              <w:rPr>
                <w:sz w:val="21"/>
                <w:szCs w:val="21"/>
              </w:rPr>
            </w:pPr>
          </w:p>
        </w:tc>
        <w:tc>
          <w:tcPr>
            <w:tcW w:w="1110" w:type="dxa"/>
            <w:vAlign w:val="center"/>
          </w:tcPr>
          <w:p>
            <w:pPr>
              <w:tabs>
                <w:tab w:val="left" w:pos="1418"/>
              </w:tabs>
              <w:snapToGrid w:val="0"/>
              <w:spacing w:before="50" w:after="50" w:line="276" w:lineRule="auto"/>
              <w:jc w:val="center"/>
              <w:rPr>
                <w:sz w:val="21"/>
                <w:szCs w:val="21"/>
              </w:rPr>
            </w:pPr>
          </w:p>
        </w:tc>
        <w:tc>
          <w:tcPr>
            <w:tcW w:w="930" w:type="dxa"/>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21"/>
                <w:szCs w:val="21"/>
              </w:rPr>
            </w:pPr>
            <w:r>
              <w:rPr>
                <w:rFonts w:hint="eastAsia"/>
                <w:sz w:val="21"/>
                <w:szCs w:val="21"/>
              </w:rPr>
              <w:t>8</w:t>
            </w:r>
          </w:p>
        </w:tc>
        <w:tc>
          <w:tcPr>
            <w:tcW w:w="992" w:type="dxa"/>
            <w:vAlign w:val="center"/>
          </w:tcPr>
          <w:p>
            <w:pPr>
              <w:tabs>
                <w:tab w:val="left" w:pos="1418"/>
              </w:tabs>
              <w:snapToGrid w:val="0"/>
              <w:spacing w:before="50" w:after="50" w:line="276" w:lineRule="auto"/>
              <w:jc w:val="center"/>
              <w:rPr>
                <w:spacing w:val="20"/>
                <w:sz w:val="21"/>
                <w:szCs w:val="21"/>
              </w:rPr>
            </w:pPr>
          </w:p>
        </w:tc>
        <w:tc>
          <w:tcPr>
            <w:tcW w:w="2934" w:type="dxa"/>
            <w:vAlign w:val="center"/>
          </w:tcPr>
          <w:p>
            <w:pPr>
              <w:tabs>
                <w:tab w:val="left" w:pos="1418"/>
              </w:tabs>
              <w:snapToGrid w:val="0"/>
              <w:spacing w:before="50" w:after="50" w:line="276" w:lineRule="auto"/>
              <w:jc w:val="center"/>
              <w:rPr>
                <w:spacing w:val="20"/>
                <w:sz w:val="21"/>
                <w:szCs w:val="21"/>
              </w:rPr>
            </w:pPr>
          </w:p>
        </w:tc>
        <w:tc>
          <w:tcPr>
            <w:tcW w:w="1815" w:type="dxa"/>
            <w:vAlign w:val="center"/>
          </w:tcPr>
          <w:p>
            <w:pPr>
              <w:rPr>
                <w:sz w:val="21"/>
                <w:szCs w:val="21"/>
              </w:rPr>
            </w:pPr>
          </w:p>
        </w:tc>
        <w:tc>
          <w:tcPr>
            <w:tcW w:w="705" w:type="dxa"/>
          </w:tcPr>
          <w:p>
            <w:pPr>
              <w:rPr>
                <w:sz w:val="21"/>
                <w:szCs w:val="21"/>
              </w:rPr>
            </w:pPr>
          </w:p>
        </w:tc>
        <w:tc>
          <w:tcPr>
            <w:tcW w:w="1110" w:type="dxa"/>
            <w:vAlign w:val="center"/>
          </w:tcPr>
          <w:p>
            <w:pPr>
              <w:tabs>
                <w:tab w:val="left" w:pos="1418"/>
              </w:tabs>
              <w:snapToGrid w:val="0"/>
              <w:spacing w:before="50" w:after="50" w:line="276" w:lineRule="auto"/>
              <w:jc w:val="center"/>
              <w:rPr>
                <w:sz w:val="21"/>
                <w:szCs w:val="21"/>
              </w:rPr>
            </w:pPr>
          </w:p>
        </w:tc>
        <w:tc>
          <w:tcPr>
            <w:tcW w:w="930" w:type="dxa"/>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21"/>
                <w:szCs w:val="21"/>
              </w:rPr>
            </w:pPr>
            <w:r>
              <w:rPr>
                <w:rFonts w:hint="eastAsia"/>
                <w:sz w:val="21"/>
                <w:szCs w:val="21"/>
              </w:rPr>
              <w:t>9</w:t>
            </w:r>
          </w:p>
        </w:tc>
        <w:tc>
          <w:tcPr>
            <w:tcW w:w="992" w:type="dxa"/>
            <w:vAlign w:val="center"/>
          </w:tcPr>
          <w:p>
            <w:pPr>
              <w:tabs>
                <w:tab w:val="left" w:pos="1418"/>
              </w:tabs>
              <w:snapToGrid w:val="0"/>
              <w:spacing w:before="50" w:after="50" w:line="276" w:lineRule="auto"/>
              <w:jc w:val="center"/>
              <w:rPr>
                <w:spacing w:val="20"/>
                <w:sz w:val="21"/>
                <w:szCs w:val="21"/>
              </w:rPr>
            </w:pPr>
          </w:p>
        </w:tc>
        <w:tc>
          <w:tcPr>
            <w:tcW w:w="2934" w:type="dxa"/>
            <w:vAlign w:val="center"/>
          </w:tcPr>
          <w:p>
            <w:pPr>
              <w:tabs>
                <w:tab w:val="left" w:pos="1418"/>
              </w:tabs>
              <w:snapToGrid w:val="0"/>
              <w:spacing w:before="50" w:after="50" w:line="276" w:lineRule="auto"/>
              <w:jc w:val="center"/>
              <w:rPr>
                <w:spacing w:val="20"/>
                <w:sz w:val="21"/>
                <w:szCs w:val="21"/>
              </w:rPr>
            </w:pPr>
          </w:p>
        </w:tc>
        <w:tc>
          <w:tcPr>
            <w:tcW w:w="1815" w:type="dxa"/>
            <w:vAlign w:val="center"/>
          </w:tcPr>
          <w:p>
            <w:pPr>
              <w:rPr>
                <w:sz w:val="21"/>
                <w:szCs w:val="21"/>
              </w:rPr>
            </w:pPr>
          </w:p>
        </w:tc>
        <w:tc>
          <w:tcPr>
            <w:tcW w:w="705" w:type="dxa"/>
          </w:tcPr>
          <w:p>
            <w:pPr>
              <w:rPr>
                <w:sz w:val="21"/>
                <w:szCs w:val="21"/>
              </w:rPr>
            </w:pPr>
          </w:p>
        </w:tc>
        <w:tc>
          <w:tcPr>
            <w:tcW w:w="1110" w:type="dxa"/>
            <w:vAlign w:val="center"/>
          </w:tcPr>
          <w:p>
            <w:pPr>
              <w:tabs>
                <w:tab w:val="left" w:pos="1418"/>
              </w:tabs>
              <w:snapToGrid w:val="0"/>
              <w:spacing w:before="50" w:after="50" w:line="276" w:lineRule="auto"/>
              <w:jc w:val="center"/>
              <w:rPr>
                <w:sz w:val="21"/>
                <w:szCs w:val="21"/>
              </w:rPr>
            </w:pPr>
          </w:p>
        </w:tc>
        <w:tc>
          <w:tcPr>
            <w:tcW w:w="930" w:type="dxa"/>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21"/>
                <w:szCs w:val="21"/>
              </w:rPr>
            </w:pPr>
            <w:r>
              <w:rPr>
                <w:rFonts w:hint="eastAsia"/>
                <w:sz w:val="21"/>
                <w:szCs w:val="21"/>
              </w:rPr>
              <w:t>10</w:t>
            </w:r>
          </w:p>
        </w:tc>
        <w:tc>
          <w:tcPr>
            <w:tcW w:w="992" w:type="dxa"/>
            <w:vAlign w:val="center"/>
          </w:tcPr>
          <w:p>
            <w:pPr>
              <w:tabs>
                <w:tab w:val="left" w:pos="1418"/>
              </w:tabs>
              <w:snapToGrid w:val="0"/>
              <w:spacing w:before="50" w:after="50" w:line="276" w:lineRule="auto"/>
              <w:jc w:val="center"/>
              <w:rPr>
                <w:spacing w:val="20"/>
                <w:sz w:val="21"/>
                <w:szCs w:val="21"/>
              </w:rPr>
            </w:pPr>
          </w:p>
        </w:tc>
        <w:tc>
          <w:tcPr>
            <w:tcW w:w="2934" w:type="dxa"/>
            <w:vAlign w:val="center"/>
          </w:tcPr>
          <w:p>
            <w:pPr>
              <w:tabs>
                <w:tab w:val="left" w:pos="1418"/>
              </w:tabs>
              <w:snapToGrid w:val="0"/>
              <w:spacing w:before="50" w:after="50" w:line="276" w:lineRule="auto"/>
              <w:jc w:val="center"/>
              <w:rPr>
                <w:spacing w:val="20"/>
                <w:sz w:val="21"/>
                <w:szCs w:val="21"/>
              </w:rPr>
            </w:pPr>
          </w:p>
        </w:tc>
        <w:tc>
          <w:tcPr>
            <w:tcW w:w="1815" w:type="dxa"/>
            <w:vAlign w:val="center"/>
          </w:tcPr>
          <w:p>
            <w:pPr>
              <w:rPr>
                <w:spacing w:val="20"/>
                <w:sz w:val="21"/>
                <w:szCs w:val="21"/>
              </w:rPr>
            </w:pPr>
          </w:p>
        </w:tc>
        <w:tc>
          <w:tcPr>
            <w:tcW w:w="705" w:type="dxa"/>
          </w:tcPr>
          <w:p>
            <w:pPr>
              <w:rPr>
                <w:sz w:val="21"/>
                <w:szCs w:val="21"/>
              </w:rPr>
            </w:pPr>
          </w:p>
        </w:tc>
        <w:tc>
          <w:tcPr>
            <w:tcW w:w="1110" w:type="dxa"/>
            <w:vAlign w:val="center"/>
          </w:tcPr>
          <w:p>
            <w:pPr>
              <w:tabs>
                <w:tab w:val="left" w:pos="1418"/>
              </w:tabs>
              <w:snapToGrid w:val="0"/>
              <w:spacing w:before="50" w:after="50" w:line="276" w:lineRule="auto"/>
              <w:jc w:val="center"/>
              <w:rPr>
                <w:sz w:val="21"/>
                <w:szCs w:val="21"/>
              </w:rPr>
            </w:pPr>
          </w:p>
        </w:tc>
        <w:tc>
          <w:tcPr>
            <w:tcW w:w="930" w:type="dxa"/>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21"/>
                <w:szCs w:val="21"/>
              </w:rPr>
            </w:pPr>
            <w:r>
              <w:rPr>
                <w:rFonts w:hint="eastAsia"/>
                <w:sz w:val="21"/>
                <w:szCs w:val="21"/>
              </w:rPr>
              <w:t>11</w:t>
            </w:r>
          </w:p>
        </w:tc>
        <w:tc>
          <w:tcPr>
            <w:tcW w:w="992" w:type="dxa"/>
            <w:vAlign w:val="center"/>
          </w:tcPr>
          <w:p>
            <w:pPr>
              <w:tabs>
                <w:tab w:val="left" w:pos="1418"/>
              </w:tabs>
              <w:snapToGrid w:val="0"/>
              <w:spacing w:before="50" w:after="50" w:line="276" w:lineRule="auto"/>
              <w:jc w:val="center"/>
              <w:rPr>
                <w:spacing w:val="20"/>
                <w:sz w:val="21"/>
                <w:szCs w:val="21"/>
              </w:rPr>
            </w:pPr>
          </w:p>
        </w:tc>
        <w:tc>
          <w:tcPr>
            <w:tcW w:w="2934" w:type="dxa"/>
            <w:vAlign w:val="center"/>
          </w:tcPr>
          <w:p>
            <w:pPr>
              <w:tabs>
                <w:tab w:val="left" w:pos="1418"/>
              </w:tabs>
              <w:snapToGrid w:val="0"/>
              <w:spacing w:before="50" w:after="50" w:line="276" w:lineRule="auto"/>
              <w:jc w:val="center"/>
              <w:rPr>
                <w:spacing w:val="20"/>
                <w:sz w:val="21"/>
                <w:szCs w:val="21"/>
              </w:rPr>
            </w:pPr>
          </w:p>
        </w:tc>
        <w:tc>
          <w:tcPr>
            <w:tcW w:w="1815" w:type="dxa"/>
            <w:vAlign w:val="center"/>
          </w:tcPr>
          <w:p>
            <w:pPr>
              <w:rPr>
                <w:spacing w:val="20"/>
                <w:sz w:val="21"/>
                <w:szCs w:val="21"/>
              </w:rPr>
            </w:pPr>
          </w:p>
        </w:tc>
        <w:tc>
          <w:tcPr>
            <w:tcW w:w="705" w:type="dxa"/>
          </w:tcPr>
          <w:p>
            <w:pPr>
              <w:rPr>
                <w:sz w:val="21"/>
                <w:szCs w:val="21"/>
              </w:rPr>
            </w:pPr>
          </w:p>
        </w:tc>
        <w:tc>
          <w:tcPr>
            <w:tcW w:w="1110" w:type="dxa"/>
            <w:vAlign w:val="center"/>
          </w:tcPr>
          <w:p>
            <w:pPr>
              <w:tabs>
                <w:tab w:val="left" w:pos="1418"/>
              </w:tabs>
              <w:snapToGrid w:val="0"/>
              <w:spacing w:before="50" w:after="50" w:line="276" w:lineRule="auto"/>
              <w:jc w:val="center"/>
              <w:rPr>
                <w:sz w:val="21"/>
                <w:szCs w:val="21"/>
              </w:rPr>
            </w:pPr>
          </w:p>
        </w:tc>
        <w:tc>
          <w:tcPr>
            <w:tcW w:w="930" w:type="dxa"/>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21"/>
                <w:szCs w:val="21"/>
              </w:rPr>
            </w:pPr>
            <w:r>
              <w:rPr>
                <w:rFonts w:hint="eastAsia"/>
                <w:sz w:val="21"/>
                <w:szCs w:val="21"/>
              </w:rPr>
              <w:t>12</w:t>
            </w:r>
          </w:p>
        </w:tc>
        <w:tc>
          <w:tcPr>
            <w:tcW w:w="992" w:type="dxa"/>
            <w:vAlign w:val="center"/>
          </w:tcPr>
          <w:p>
            <w:pPr>
              <w:tabs>
                <w:tab w:val="left" w:pos="1418"/>
              </w:tabs>
              <w:snapToGrid w:val="0"/>
              <w:spacing w:before="50" w:after="50" w:line="276" w:lineRule="auto"/>
              <w:jc w:val="center"/>
              <w:rPr>
                <w:spacing w:val="20"/>
                <w:sz w:val="21"/>
                <w:szCs w:val="21"/>
              </w:rPr>
            </w:pPr>
          </w:p>
        </w:tc>
        <w:tc>
          <w:tcPr>
            <w:tcW w:w="2934" w:type="dxa"/>
            <w:vAlign w:val="center"/>
          </w:tcPr>
          <w:p>
            <w:pPr>
              <w:tabs>
                <w:tab w:val="left" w:pos="1418"/>
              </w:tabs>
              <w:snapToGrid w:val="0"/>
              <w:spacing w:before="50" w:after="50" w:line="276" w:lineRule="auto"/>
              <w:jc w:val="center"/>
              <w:rPr>
                <w:spacing w:val="20"/>
                <w:sz w:val="21"/>
                <w:szCs w:val="21"/>
              </w:rPr>
            </w:pPr>
          </w:p>
        </w:tc>
        <w:tc>
          <w:tcPr>
            <w:tcW w:w="1815" w:type="dxa"/>
            <w:vAlign w:val="center"/>
          </w:tcPr>
          <w:p>
            <w:pPr>
              <w:rPr>
                <w:spacing w:val="20"/>
                <w:sz w:val="21"/>
                <w:szCs w:val="21"/>
              </w:rPr>
            </w:pPr>
          </w:p>
        </w:tc>
        <w:tc>
          <w:tcPr>
            <w:tcW w:w="705" w:type="dxa"/>
          </w:tcPr>
          <w:p>
            <w:pPr>
              <w:rPr>
                <w:sz w:val="21"/>
                <w:szCs w:val="21"/>
              </w:rPr>
            </w:pPr>
          </w:p>
        </w:tc>
        <w:tc>
          <w:tcPr>
            <w:tcW w:w="1110" w:type="dxa"/>
            <w:vAlign w:val="center"/>
          </w:tcPr>
          <w:p>
            <w:pPr>
              <w:tabs>
                <w:tab w:val="left" w:pos="1418"/>
              </w:tabs>
              <w:snapToGrid w:val="0"/>
              <w:spacing w:before="50" w:after="50" w:line="276" w:lineRule="auto"/>
              <w:jc w:val="center"/>
              <w:rPr>
                <w:sz w:val="21"/>
                <w:szCs w:val="21"/>
              </w:rPr>
            </w:pPr>
          </w:p>
        </w:tc>
        <w:tc>
          <w:tcPr>
            <w:tcW w:w="930" w:type="dxa"/>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21"/>
                <w:szCs w:val="21"/>
              </w:rPr>
            </w:pPr>
            <w:r>
              <w:rPr>
                <w:rFonts w:hint="eastAsia"/>
                <w:sz w:val="21"/>
                <w:szCs w:val="21"/>
              </w:rPr>
              <w:t>13</w:t>
            </w:r>
          </w:p>
        </w:tc>
        <w:tc>
          <w:tcPr>
            <w:tcW w:w="992" w:type="dxa"/>
            <w:vAlign w:val="center"/>
          </w:tcPr>
          <w:p>
            <w:pPr>
              <w:tabs>
                <w:tab w:val="left" w:pos="1418"/>
              </w:tabs>
              <w:snapToGrid w:val="0"/>
              <w:spacing w:before="50" w:after="50" w:line="276" w:lineRule="auto"/>
              <w:jc w:val="center"/>
              <w:rPr>
                <w:spacing w:val="20"/>
                <w:sz w:val="21"/>
                <w:szCs w:val="21"/>
              </w:rPr>
            </w:pPr>
          </w:p>
        </w:tc>
        <w:tc>
          <w:tcPr>
            <w:tcW w:w="2934" w:type="dxa"/>
            <w:vAlign w:val="center"/>
          </w:tcPr>
          <w:p>
            <w:pPr>
              <w:tabs>
                <w:tab w:val="left" w:pos="1418"/>
              </w:tabs>
              <w:snapToGrid w:val="0"/>
              <w:spacing w:before="50" w:after="50" w:line="276" w:lineRule="auto"/>
              <w:jc w:val="center"/>
              <w:rPr>
                <w:spacing w:val="20"/>
                <w:sz w:val="21"/>
                <w:szCs w:val="21"/>
              </w:rPr>
            </w:pPr>
          </w:p>
        </w:tc>
        <w:tc>
          <w:tcPr>
            <w:tcW w:w="1815" w:type="dxa"/>
            <w:vAlign w:val="center"/>
          </w:tcPr>
          <w:p>
            <w:pPr>
              <w:rPr>
                <w:spacing w:val="20"/>
                <w:sz w:val="21"/>
                <w:szCs w:val="21"/>
              </w:rPr>
            </w:pPr>
          </w:p>
        </w:tc>
        <w:tc>
          <w:tcPr>
            <w:tcW w:w="705" w:type="dxa"/>
          </w:tcPr>
          <w:p>
            <w:pPr>
              <w:rPr>
                <w:sz w:val="21"/>
                <w:szCs w:val="21"/>
              </w:rPr>
            </w:pPr>
          </w:p>
        </w:tc>
        <w:tc>
          <w:tcPr>
            <w:tcW w:w="1110" w:type="dxa"/>
            <w:vAlign w:val="center"/>
          </w:tcPr>
          <w:p>
            <w:pPr>
              <w:tabs>
                <w:tab w:val="left" w:pos="1418"/>
              </w:tabs>
              <w:snapToGrid w:val="0"/>
              <w:spacing w:before="50" w:after="50" w:line="276" w:lineRule="auto"/>
              <w:jc w:val="center"/>
              <w:rPr>
                <w:sz w:val="21"/>
                <w:szCs w:val="21"/>
              </w:rPr>
            </w:pPr>
          </w:p>
        </w:tc>
        <w:tc>
          <w:tcPr>
            <w:tcW w:w="930" w:type="dxa"/>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21"/>
                <w:szCs w:val="21"/>
              </w:rPr>
            </w:pPr>
            <w:r>
              <w:rPr>
                <w:rFonts w:hint="eastAsia"/>
                <w:sz w:val="21"/>
                <w:szCs w:val="21"/>
              </w:rPr>
              <w:t>14</w:t>
            </w:r>
          </w:p>
        </w:tc>
        <w:tc>
          <w:tcPr>
            <w:tcW w:w="992" w:type="dxa"/>
            <w:vAlign w:val="center"/>
          </w:tcPr>
          <w:p>
            <w:pPr>
              <w:tabs>
                <w:tab w:val="left" w:pos="1418"/>
              </w:tabs>
              <w:snapToGrid w:val="0"/>
              <w:spacing w:before="50" w:after="50" w:line="276" w:lineRule="auto"/>
              <w:jc w:val="center"/>
              <w:rPr>
                <w:spacing w:val="20"/>
                <w:sz w:val="21"/>
                <w:szCs w:val="21"/>
              </w:rPr>
            </w:pPr>
          </w:p>
        </w:tc>
        <w:tc>
          <w:tcPr>
            <w:tcW w:w="2934" w:type="dxa"/>
            <w:vAlign w:val="center"/>
          </w:tcPr>
          <w:p>
            <w:pPr>
              <w:tabs>
                <w:tab w:val="left" w:pos="1418"/>
              </w:tabs>
              <w:snapToGrid w:val="0"/>
              <w:spacing w:before="50" w:after="50" w:line="276" w:lineRule="auto"/>
              <w:jc w:val="center"/>
              <w:rPr>
                <w:spacing w:val="20"/>
                <w:sz w:val="21"/>
                <w:szCs w:val="21"/>
              </w:rPr>
            </w:pPr>
          </w:p>
        </w:tc>
        <w:tc>
          <w:tcPr>
            <w:tcW w:w="1815" w:type="dxa"/>
            <w:vAlign w:val="center"/>
          </w:tcPr>
          <w:p>
            <w:pPr>
              <w:rPr>
                <w:spacing w:val="20"/>
                <w:sz w:val="21"/>
                <w:szCs w:val="21"/>
              </w:rPr>
            </w:pPr>
          </w:p>
        </w:tc>
        <w:tc>
          <w:tcPr>
            <w:tcW w:w="705" w:type="dxa"/>
          </w:tcPr>
          <w:p>
            <w:pPr>
              <w:rPr>
                <w:sz w:val="21"/>
                <w:szCs w:val="21"/>
              </w:rPr>
            </w:pPr>
          </w:p>
        </w:tc>
        <w:tc>
          <w:tcPr>
            <w:tcW w:w="1110" w:type="dxa"/>
            <w:vAlign w:val="center"/>
          </w:tcPr>
          <w:p>
            <w:pPr>
              <w:tabs>
                <w:tab w:val="left" w:pos="1418"/>
              </w:tabs>
              <w:snapToGrid w:val="0"/>
              <w:spacing w:before="50" w:after="50" w:line="276" w:lineRule="auto"/>
              <w:jc w:val="center"/>
              <w:rPr>
                <w:sz w:val="21"/>
                <w:szCs w:val="21"/>
              </w:rPr>
            </w:pPr>
          </w:p>
        </w:tc>
        <w:tc>
          <w:tcPr>
            <w:tcW w:w="930" w:type="dxa"/>
          </w:tcPr>
          <w:p>
            <w:pPr>
              <w:rPr>
                <w:sz w:val="21"/>
                <w:szCs w:val="21"/>
              </w:rPr>
            </w:pPr>
          </w:p>
        </w:tc>
      </w:tr>
    </w:tbl>
    <w:p>
      <w:pPr>
        <w:pStyle w:val="3"/>
        <w:rPr>
          <w:sz w:val="20"/>
        </w:rPr>
      </w:pPr>
    </w:p>
    <w:p>
      <w:pPr>
        <w:widowControl/>
        <w:jc w:val="left"/>
        <w:rPr>
          <w:rFonts w:ascii="宋体" w:hAnsi="宋体" w:eastAsia="宋体" w:cs="宋体"/>
          <w:kern w:val="0"/>
          <w:sz w:val="20"/>
          <w:szCs w:val="17"/>
          <w:lang w:val="zh-CN" w:bidi="zh-CN"/>
        </w:rPr>
      </w:pPr>
      <w:r>
        <w:rPr>
          <w:sz w:val="20"/>
        </w:rPr>
        <w:br w:type="page"/>
      </w:r>
    </w:p>
    <w:p>
      <w:pPr>
        <w:spacing w:line="440" w:lineRule="exact"/>
        <w:jc w:val="center"/>
        <w:rPr>
          <w:rFonts w:ascii="Calibri" w:hAnsi="Calibri" w:eastAsia="宋体" w:cs="Times New Roman"/>
          <w:b/>
          <w:sz w:val="28"/>
          <w:szCs w:val="28"/>
        </w:rPr>
      </w:pPr>
      <w:r>
        <w:rPr>
          <w:rFonts w:ascii="Calibri" w:hAnsi="Calibri" w:eastAsia="宋体" w:cs="Times New Roman"/>
          <w:b/>
          <w:sz w:val="28"/>
          <w:szCs w:val="28"/>
        </w:rPr>
        <w:t>廉洁购销合同</w:t>
      </w:r>
    </w:p>
    <w:p>
      <w:pPr>
        <w:spacing w:line="440" w:lineRule="exact"/>
        <w:rPr>
          <w:rFonts w:ascii="Calibri" w:hAnsi="Calibri" w:eastAsia="宋体" w:cs="Times New Roman"/>
          <w:bCs/>
          <w:sz w:val="18"/>
          <w:szCs w:val="20"/>
        </w:rPr>
      </w:pPr>
      <w:r>
        <w:rPr>
          <w:rFonts w:ascii="Calibri" w:hAnsi="Calibri" w:eastAsia="宋体" w:cs="Times New Roman"/>
          <w:sz w:val="18"/>
          <w:szCs w:val="20"/>
        </w:rPr>
        <w:t>甲方</w:t>
      </w:r>
      <w:r>
        <w:rPr>
          <w:rFonts w:ascii="Calibri" w:hAnsi="Calibri" w:eastAsia="宋体" w:cs="Times New Roman"/>
          <w:bCs/>
          <w:sz w:val="18"/>
          <w:szCs w:val="20"/>
        </w:rPr>
        <w:t>：</w:t>
      </w:r>
      <w:r>
        <w:rPr>
          <w:rFonts w:hint="eastAsia" w:ascii="Calibri" w:hAnsi="Calibri" w:eastAsia="宋体" w:cs="Times New Roman"/>
          <w:bCs/>
          <w:sz w:val="18"/>
          <w:szCs w:val="20"/>
        </w:rPr>
        <w:t>温州市中医院</w:t>
      </w:r>
    </w:p>
    <w:p>
      <w:pPr>
        <w:spacing w:line="440" w:lineRule="exact"/>
        <w:rPr>
          <w:rFonts w:hint="eastAsia" w:ascii="Calibri" w:hAnsi="Calibri" w:eastAsia="宋体" w:cs="Times New Roman"/>
          <w:bCs/>
          <w:sz w:val="18"/>
          <w:szCs w:val="20"/>
        </w:rPr>
      </w:pPr>
      <w:r>
        <w:rPr>
          <w:rFonts w:ascii="Calibri" w:hAnsi="Calibri" w:eastAsia="宋体" w:cs="Times New Roman"/>
          <w:sz w:val="18"/>
          <w:szCs w:val="20"/>
        </w:rPr>
        <w:t>乙方</w:t>
      </w:r>
      <w:r>
        <w:rPr>
          <w:rFonts w:ascii="Calibri" w:hAnsi="Calibri" w:eastAsia="宋体" w:cs="Times New Roman"/>
          <w:bCs/>
          <w:sz w:val="18"/>
          <w:szCs w:val="20"/>
        </w:rPr>
        <w:t>：</w:t>
      </w:r>
    </w:p>
    <w:p>
      <w:pPr>
        <w:spacing w:line="440" w:lineRule="exact"/>
        <w:ind w:firstLine="360" w:firstLineChars="200"/>
        <w:rPr>
          <w:rFonts w:ascii="Calibri" w:hAnsi="Calibri" w:eastAsia="宋体" w:cs="Times New Roman"/>
          <w:bCs/>
          <w:sz w:val="18"/>
          <w:szCs w:val="20"/>
        </w:rPr>
      </w:pPr>
      <w:r>
        <w:rPr>
          <w:rFonts w:ascii="Calibri" w:hAnsi="Calibri" w:eastAsia="宋体" w:cs="Times New Roman"/>
          <w:bCs/>
          <w:sz w:val="18"/>
          <w:szCs w:val="20"/>
        </w:rPr>
        <w:t>为进一步加强医疗卫生行风建设，规范医疗卫生机构</w:t>
      </w:r>
      <w:r>
        <w:rPr>
          <w:rFonts w:hint="eastAsia" w:ascii="Calibri" w:hAnsi="Calibri" w:eastAsia="宋体" w:cs="Times New Roman"/>
          <w:bCs/>
          <w:sz w:val="18"/>
          <w:szCs w:val="20"/>
        </w:rPr>
        <w:t>各类</w:t>
      </w:r>
      <w:r>
        <w:rPr>
          <w:rFonts w:ascii="Calibri" w:hAnsi="Calibri" w:eastAsia="宋体" w:cs="Times New Roman"/>
          <w:bCs/>
          <w:sz w:val="18"/>
          <w:szCs w:val="20"/>
        </w:rPr>
        <w:t>购销行为，有效防范商业贿赂行为，营造公平交易、诚实守信的</w:t>
      </w:r>
      <w:r>
        <w:rPr>
          <w:rFonts w:hint="eastAsia" w:ascii="Calibri" w:hAnsi="Calibri" w:eastAsia="宋体" w:cs="Times New Roman"/>
          <w:bCs/>
          <w:sz w:val="18"/>
          <w:szCs w:val="20"/>
        </w:rPr>
        <w:t>“清廉医院”</w:t>
      </w:r>
      <w:r>
        <w:rPr>
          <w:rFonts w:ascii="Calibri" w:hAnsi="Calibri" w:eastAsia="宋体" w:cs="Times New Roman"/>
          <w:bCs/>
          <w:sz w:val="18"/>
          <w:szCs w:val="20"/>
        </w:rPr>
        <w:t>购销环境，经甲、乙双方协商，同意签订本合同，并共同遵守：</w:t>
      </w:r>
    </w:p>
    <w:p>
      <w:pPr>
        <w:spacing w:line="440" w:lineRule="exact"/>
        <w:ind w:firstLine="360" w:firstLineChars="200"/>
        <w:rPr>
          <w:rFonts w:ascii="Calibri" w:hAnsi="Calibri" w:eastAsia="宋体" w:cs="Times New Roman"/>
          <w:bCs/>
          <w:sz w:val="18"/>
          <w:szCs w:val="20"/>
        </w:rPr>
      </w:pPr>
      <w:r>
        <w:rPr>
          <w:rFonts w:ascii="Calibri" w:hAnsi="Calibri" w:eastAsia="宋体" w:cs="Times New Roman"/>
          <w:bCs/>
          <w:sz w:val="18"/>
          <w:szCs w:val="20"/>
        </w:rPr>
        <w:t>一、甲乙双方按照《</w:t>
      </w:r>
      <w:r>
        <w:rPr>
          <w:rFonts w:hint="eastAsia" w:ascii="Calibri" w:hAnsi="Calibri" w:eastAsia="宋体" w:cs="Times New Roman"/>
          <w:bCs/>
          <w:sz w:val="18"/>
          <w:szCs w:val="20"/>
        </w:rPr>
        <w:t>民法典</w:t>
      </w:r>
      <w:r>
        <w:rPr>
          <w:rFonts w:ascii="Calibri" w:hAnsi="Calibri" w:eastAsia="宋体" w:cs="Times New Roman"/>
          <w:bCs/>
          <w:sz w:val="18"/>
          <w:szCs w:val="20"/>
        </w:rPr>
        <w:t>》</w:t>
      </w:r>
      <w:r>
        <w:rPr>
          <w:rFonts w:hint="eastAsia" w:ascii="Calibri" w:hAnsi="Calibri" w:eastAsia="宋体" w:cs="Times New Roman"/>
          <w:bCs/>
          <w:sz w:val="18"/>
          <w:szCs w:val="20"/>
        </w:rPr>
        <w:t>等相关法规要求，约定</w:t>
      </w:r>
      <w:r>
        <w:rPr>
          <w:rFonts w:ascii="Calibri" w:hAnsi="Calibri" w:eastAsia="宋体" w:cs="Times New Roman"/>
          <w:bCs/>
          <w:sz w:val="18"/>
          <w:szCs w:val="20"/>
        </w:rPr>
        <w:t>购销</w:t>
      </w:r>
      <w:r>
        <w:rPr>
          <w:rFonts w:hint="eastAsia" w:ascii="Calibri" w:hAnsi="Calibri" w:eastAsia="宋体" w:cs="Times New Roman"/>
          <w:bCs/>
          <w:sz w:val="18"/>
          <w:szCs w:val="20"/>
        </w:rPr>
        <w:t>包括但不限于</w:t>
      </w:r>
      <w:r>
        <w:rPr>
          <w:rFonts w:ascii="Calibri" w:hAnsi="Calibri" w:eastAsia="宋体" w:cs="Times New Roman"/>
          <w:bCs/>
          <w:sz w:val="18"/>
          <w:szCs w:val="20"/>
        </w:rPr>
        <w:t>药品、设备、耗材</w:t>
      </w:r>
      <w:r>
        <w:rPr>
          <w:rFonts w:hint="eastAsia" w:ascii="Calibri" w:hAnsi="Calibri" w:eastAsia="宋体" w:cs="Times New Roman"/>
          <w:bCs/>
          <w:sz w:val="18"/>
          <w:szCs w:val="20"/>
        </w:rPr>
        <w:t>、维保</w:t>
      </w:r>
      <w:r>
        <w:rPr>
          <w:rFonts w:ascii="Calibri" w:hAnsi="Calibri" w:eastAsia="宋体" w:cs="Times New Roman"/>
          <w:bCs/>
          <w:sz w:val="18"/>
          <w:szCs w:val="20"/>
        </w:rPr>
        <w:t>等</w:t>
      </w:r>
      <w:r>
        <w:rPr>
          <w:rFonts w:hint="eastAsia" w:ascii="Calibri" w:hAnsi="Calibri" w:eastAsia="宋体" w:cs="Times New Roman"/>
          <w:bCs/>
          <w:sz w:val="18"/>
          <w:szCs w:val="20"/>
        </w:rPr>
        <w:t>货物或服务</w:t>
      </w:r>
      <w:r>
        <w:rPr>
          <w:rFonts w:ascii="Calibri" w:hAnsi="Calibri" w:eastAsia="宋体" w:cs="Times New Roman"/>
          <w:bCs/>
          <w:sz w:val="18"/>
          <w:szCs w:val="20"/>
        </w:rPr>
        <w:t>。</w:t>
      </w:r>
    </w:p>
    <w:p>
      <w:pPr>
        <w:spacing w:line="440" w:lineRule="exact"/>
        <w:ind w:firstLine="360" w:firstLineChars="200"/>
        <w:rPr>
          <w:rFonts w:ascii="Calibri" w:hAnsi="Calibri" w:eastAsia="宋体" w:cs="Times New Roman"/>
          <w:bCs/>
          <w:sz w:val="18"/>
          <w:szCs w:val="20"/>
        </w:rPr>
      </w:pPr>
      <w:r>
        <w:rPr>
          <w:rFonts w:ascii="Calibri" w:hAnsi="Calibri" w:eastAsia="宋体" w:cs="Times New Roman"/>
          <w:bCs/>
          <w:sz w:val="18"/>
          <w:szCs w:val="20"/>
        </w:rPr>
        <w:t>二、甲方应当严格执行合同验收、入库制度，对采购产品及发票进行查验，不得违反有关规定合同外采购、违价采购或从非规定渠道采购。</w:t>
      </w:r>
    </w:p>
    <w:p>
      <w:pPr>
        <w:spacing w:line="440" w:lineRule="exact"/>
        <w:ind w:firstLine="360" w:firstLineChars="200"/>
        <w:rPr>
          <w:rFonts w:ascii="Calibri" w:hAnsi="Calibri" w:eastAsia="宋体" w:cs="Times New Roman"/>
          <w:bCs/>
          <w:sz w:val="18"/>
          <w:szCs w:val="20"/>
        </w:rPr>
      </w:pPr>
      <w:r>
        <w:rPr>
          <w:rFonts w:ascii="Calibri" w:hAnsi="Calibri" w:eastAsia="宋体" w:cs="Times New Roman"/>
          <w:bCs/>
          <w:sz w:val="18"/>
          <w:szCs w:val="20"/>
        </w:rPr>
        <w:t>三、甲方严禁接受乙方以任何名义、形式给予的回扣，不得将接受捐赠资助与采购挂钩。甲方工作人员不得参加乙方安排并支付费用的营业性娱乐场所的娱乐活动，不得以任何形式向乙方索要现金、有价证券、支付凭证和贵重礼品等。被动接受乙方给予的钱物，应予退还，无法退还的，有责任如实向有关纪检监察部门反映情况。</w:t>
      </w:r>
    </w:p>
    <w:p>
      <w:pPr>
        <w:spacing w:line="440" w:lineRule="exact"/>
        <w:ind w:firstLine="360" w:firstLineChars="200"/>
        <w:rPr>
          <w:rFonts w:ascii="Calibri" w:hAnsi="Calibri" w:eastAsia="宋体" w:cs="Times New Roman"/>
          <w:bCs/>
          <w:sz w:val="18"/>
          <w:szCs w:val="20"/>
        </w:rPr>
      </w:pPr>
      <w:r>
        <w:rPr>
          <w:rFonts w:ascii="Calibri" w:hAnsi="Calibri" w:eastAsia="宋体" w:cs="Times New Roman"/>
          <w:bCs/>
          <w:sz w:val="18"/>
          <w:szCs w:val="20"/>
        </w:rPr>
        <w:t>四、严禁甲方工作人员利用任何途径和方式，为乙方统计医师个人及临床科室有关医药产品用量信息，或为乙方统计提供便利。</w:t>
      </w:r>
    </w:p>
    <w:p>
      <w:pPr>
        <w:spacing w:line="440" w:lineRule="exact"/>
        <w:ind w:firstLine="360" w:firstLineChars="200"/>
        <w:rPr>
          <w:rFonts w:ascii="Calibri" w:hAnsi="Calibri" w:eastAsia="宋体" w:cs="Times New Roman"/>
          <w:bCs/>
          <w:sz w:val="18"/>
          <w:szCs w:val="20"/>
        </w:rPr>
      </w:pPr>
      <w:r>
        <w:rPr>
          <w:rFonts w:ascii="Calibri" w:hAnsi="Calibri" w:eastAsia="宋体" w:cs="Times New Roman"/>
          <w:bCs/>
          <w:sz w:val="18"/>
          <w:szCs w:val="20"/>
        </w:rPr>
        <w:t>五、乙方不得以回扣、宴请等方式影响甲方工作人员采购</w:t>
      </w:r>
      <w:r>
        <w:rPr>
          <w:rFonts w:hint="eastAsia" w:ascii="Calibri" w:hAnsi="Calibri" w:eastAsia="宋体" w:cs="Times New Roman"/>
          <w:bCs/>
          <w:sz w:val="18"/>
          <w:szCs w:val="20"/>
        </w:rPr>
        <w:t>或使用</w:t>
      </w:r>
      <w:r>
        <w:rPr>
          <w:rFonts w:ascii="Calibri" w:hAnsi="Calibri" w:eastAsia="宋体" w:cs="Times New Roman"/>
          <w:bCs/>
          <w:sz w:val="18"/>
          <w:szCs w:val="20"/>
        </w:rPr>
        <w:t>产品的选择权，不得在学术活动中提供旅游、超标准支付食宿费用。</w:t>
      </w:r>
    </w:p>
    <w:p>
      <w:pPr>
        <w:spacing w:line="440" w:lineRule="exact"/>
        <w:ind w:firstLine="360" w:firstLineChars="200"/>
        <w:rPr>
          <w:rFonts w:ascii="Calibri" w:hAnsi="Calibri" w:eastAsia="宋体" w:cs="Times New Roman"/>
          <w:bCs/>
          <w:sz w:val="18"/>
          <w:szCs w:val="20"/>
        </w:rPr>
      </w:pPr>
      <w:r>
        <w:rPr>
          <w:rFonts w:ascii="Calibri" w:hAnsi="Calibri" w:eastAsia="宋体" w:cs="Times New Roman"/>
          <w:bCs/>
          <w:sz w:val="18"/>
          <w:szCs w:val="20"/>
        </w:rPr>
        <w:t>六、乙方指定</w:t>
      </w:r>
      <w:r>
        <w:rPr>
          <w:rFonts w:ascii="Calibri" w:hAnsi="Calibri" w:eastAsia="宋体" w:cs="Times New Roman"/>
          <w:bCs/>
          <w:sz w:val="18"/>
          <w:szCs w:val="20"/>
          <w:u w:val="single"/>
        </w:rPr>
        <w:t xml:space="preserve">                        </w:t>
      </w:r>
      <w:r>
        <w:rPr>
          <w:rFonts w:ascii="Calibri" w:hAnsi="Calibri" w:eastAsia="宋体" w:cs="Times New Roman"/>
          <w:bCs/>
          <w:sz w:val="18"/>
          <w:szCs w:val="20"/>
        </w:rPr>
        <w:t>作为销售代表洽谈业务。销售代表必须在工作时间到甲方指定地点联系商谈，不得到住院部、门诊部、医技科室等推销产品，不得借故到甲方相关领导、部门负责人及相关工作人员家中访谈并提供任何好处费。</w:t>
      </w:r>
    </w:p>
    <w:p>
      <w:pPr>
        <w:spacing w:line="440" w:lineRule="exact"/>
        <w:ind w:firstLine="360" w:firstLineChars="200"/>
        <w:rPr>
          <w:rFonts w:ascii="Calibri" w:hAnsi="Calibri" w:eastAsia="宋体" w:cs="Times New Roman"/>
          <w:bCs/>
          <w:sz w:val="18"/>
          <w:szCs w:val="20"/>
        </w:rPr>
      </w:pPr>
      <w:r>
        <w:rPr>
          <w:rFonts w:ascii="Calibri" w:hAnsi="Calibri" w:eastAsia="宋体" w:cs="Times New Roman"/>
          <w:bCs/>
          <w:sz w:val="18"/>
          <w:szCs w:val="20"/>
        </w:rPr>
        <w:t>七、乙方如违反本合同，一经发现，甲方有权终止购销合同，并向有关卫生计生行政部门报告。如乙方被列入商业贿赂不良记录，则严格按照《国家卫生计生委关于建立医药购销领域商业贿赂不良记录的规定》</w:t>
      </w:r>
      <w:r>
        <w:rPr>
          <w:rFonts w:ascii="Calibri" w:hAnsi="Calibri" w:eastAsia="宋体" w:cs="Times New Roman"/>
          <w:bCs/>
          <w:sz w:val="18"/>
          <w:szCs w:val="20"/>
          <w:shd w:val="clear" w:color="auto" w:fill="FFFFFF"/>
        </w:rPr>
        <w:t>（国卫法制发〔2013〕50号）</w:t>
      </w:r>
      <w:r>
        <w:rPr>
          <w:rFonts w:hint="eastAsia" w:ascii="Calibri" w:hAnsi="Calibri" w:eastAsia="宋体" w:cs="Times New Roman"/>
          <w:bCs/>
          <w:sz w:val="18"/>
          <w:szCs w:val="20"/>
          <w:shd w:val="clear" w:color="auto" w:fill="FFFFFF"/>
        </w:rPr>
        <w:t>及《关于印发医疗机构工作人员廉洁从业九项准则的通知》（国卫医发〔2021〕37号）</w:t>
      </w:r>
      <w:r>
        <w:rPr>
          <w:rFonts w:ascii="Calibri" w:hAnsi="Calibri" w:eastAsia="宋体" w:cs="Times New Roman"/>
          <w:bCs/>
          <w:sz w:val="18"/>
          <w:szCs w:val="20"/>
        </w:rPr>
        <w:t>相关规定处理。</w:t>
      </w:r>
    </w:p>
    <w:p>
      <w:pPr>
        <w:spacing w:line="440" w:lineRule="exact"/>
        <w:ind w:firstLine="360" w:firstLineChars="200"/>
        <w:rPr>
          <w:rFonts w:ascii="Calibri" w:hAnsi="Calibri" w:eastAsia="宋体" w:cs="Times New Roman"/>
          <w:bCs/>
          <w:sz w:val="18"/>
          <w:szCs w:val="20"/>
        </w:rPr>
      </w:pPr>
      <w:r>
        <w:rPr>
          <w:rFonts w:ascii="Calibri" w:hAnsi="Calibri" w:eastAsia="宋体" w:cs="Times New Roman"/>
          <w:bCs/>
          <w:sz w:val="18"/>
          <w:szCs w:val="20"/>
        </w:rPr>
        <w:t>八、本合同作为购销合同的重要组成部分，与购销合同一并执行，具有同等的法律效力。</w:t>
      </w:r>
    </w:p>
    <w:p>
      <w:pPr>
        <w:spacing w:line="440" w:lineRule="exact"/>
        <w:ind w:firstLine="360" w:firstLineChars="200"/>
        <w:rPr>
          <w:rFonts w:ascii="Calibri" w:hAnsi="Calibri" w:eastAsia="宋体" w:cs="Times New Roman"/>
          <w:bCs/>
          <w:sz w:val="18"/>
          <w:szCs w:val="20"/>
        </w:rPr>
      </w:pPr>
      <w:r>
        <w:rPr>
          <w:rFonts w:ascii="Calibri" w:hAnsi="Calibri" w:eastAsia="宋体" w:cs="Times New Roman"/>
          <w:bCs/>
          <w:sz w:val="18"/>
          <w:szCs w:val="20"/>
        </w:rPr>
        <w:t>九、本合同一式三份，甲、乙双方各执一份，甲方纪检监察部门执一份，并从签订之日起生效。</w:t>
      </w:r>
    </w:p>
    <w:p>
      <w:pPr>
        <w:spacing w:line="440" w:lineRule="exact"/>
        <w:rPr>
          <w:rFonts w:ascii="Calibri" w:hAnsi="Calibri" w:eastAsia="宋体" w:cs="Times New Roman"/>
          <w:bCs/>
          <w:sz w:val="18"/>
          <w:szCs w:val="20"/>
        </w:rPr>
      </w:pPr>
    </w:p>
    <w:p>
      <w:pPr>
        <w:spacing w:line="440" w:lineRule="exact"/>
        <w:rPr>
          <w:rFonts w:ascii="Calibri" w:hAnsi="Calibri" w:eastAsia="宋体" w:cs="Times New Roman"/>
          <w:bCs/>
          <w:sz w:val="18"/>
          <w:szCs w:val="20"/>
        </w:rPr>
      </w:pPr>
      <w:r>
        <w:rPr>
          <w:rFonts w:ascii="Calibri" w:hAnsi="Calibri" w:eastAsia="宋体" w:cs="Times New Roman"/>
          <w:bCs/>
          <w:sz w:val="18"/>
          <w:szCs w:val="20"/>
        </w:rPr>
        <w:t xml:space="preserve">甲方（盖章）：                     </w:t>
      </w:r>
      <w:r>
        <w:rPr>
          <w:rFonts w:hint="eastAsia" w:ascii="Calibri" w:hAnsi="Calibri" w:eastAsia="宋体" w:cs="Times New Roman"/>
          <w:bCs/>
          <w:sz w:val="18"/>
          <w:szCs w:val="20"/>
        </w:rPr>
        <w:t xml:space="preserve">       </w:t>
      </w:r>
      <w:r>
        <w:rPr>
          <w:rFonts w:ascii="Calibri" w:hAnsi="Calibri" w:eastAsia="宋体" w:cs="Times New Roman"/>
          <w:bCs/>
          <w:sz w:val="18"/>
          <w:szCs w:val="20"/>
        </w:rPr>
        <w:t>乙方（盖章）：</w:t>
      </w:r>
    </w:p>
    <w:p>
      <w:pPr>
        <w:spacing w:line="440" w:lineRule="exact"/>
        <w:rPr>
          <w:rFonts w:ascii="Calibri" w:hAnsi="Calibri" w:eastAsia="宋体" w:cs="Times New Roman"/>
          <w:bCs/>
          <w:sz w:val="18"/>
          <w:szCs w:val="20"/>
        </w:rPr>
      </w:pPr>
      <w:r>
        <w:rPr>
          <w:rFonts w:ascii="Calibri" w:hAnsi="Calibri" w:eastAsia="宋体" w:cs="Times New Roman"/>
          <w:bCs/>
          <w:sz w:val="18"/>
          <w:szCs w:val="20"/>
        </w:rPr>
        <w:t xml:space="preserve">法定代表人（负责人）：             </w:t>
      </w:r>
      <w:r>
        <w:rPr>
          <w:rFonts w:hint="eastAsia" w:ascii="Calibri" w:hAnsi="Calibri" w:eastAsia="宋体" w:cs="Times New Roman"/>
          <w:bCs/>
          <w:sz w:val="18"/>
          <w:szCs w:val="20"/>
        </w:rPr>
        <w:t xml:space="preserve">       </w:t>
      </w:r>
      <w:r>
        <w:rPr>
          <w:rFonts w:ascii="Calibri" w:hAnsi="Calibri" w:eastAsia="宋体" w:cs="Times New Roman"/>
          <w:bCs/>
          <w:sz w:val="18"/>
          <w:szCs w:val="20"/>
        </w:rPr>
        <w:t>法定代表人（负责人）：</w:t>
      </w:r>
    </w:p>
    <w:p>
      <w:pPr>
        <w:spacing w:line="440" w:lineRule="exact"/>
        <w:rPr>
          <w:rFonts w:ascii="Calibri" w:hAnsi="Calibri" w:eastAsia="宋体" w:cs="Times New Roman"/>
          <w:bCs/>
          <w:sz w:val="18"/>
          <w:szCs w:val="20"/>
        </w:rPr>
      </w:pPr>
      <w:r>
        <w:rPr>
          <w:rFonts w:ascii="Calibri" w:hAnsi="Calibri" w:eastAsia="宋体" w:cs="Times New Roman"/>
          <w:bCs/>
          <w:sz w:val="18"/>
          <w:szCs w:val="20"/>
        </w:rPr>
        <w:t xml:space="preserve">经办人签名：                     </w:t>
      </w:r>
      <w:r>
        <w:rPr>
          <w:rFonts w:hint="eastAsia" w:ascii="Calibri" w:hAnsi="Calibri" w:eastAsia="宋体" w:cs="Times New Roman"/>
          <w:bCs/>
          <w:sz w:val="18"/>
          <w:szCs w:val="20"/>
        </w:rPr>
        <w:t xml:space="preserve">       </w:t>
      </w:r>
      <w:r>
        <w:rPr>
          <w:rFonts w:ascii="Calibri" w:hAnsi="Calibri" w:eastAsia="宋体" w:cs="Times New Roman"/>
          <w:bCs/>
          <w:sz w:val="18"/>
          <w:szCs w:val="20"/>
        </w:rPr>
        <w:t xml:space="preserve"> 经办人签名：</w:t>
      </w:r>
    </w:p>
    <w:p>
      <w:pPr>
        <w:spacing w:line="440" w:lineRule="exact"/>
        <w:ind w:firstLine="450" w:firstLineChars="250"/>
        <w:rPr>
          <w:rFonts w:ascii="Calibri" w:hAnsi="Calibri" w:eastAsia="宋体" w:cs="Times New Roman"/>
          <w:sz w:val="18"/>
          <w:szCs w:val="24"/>
        </w:rPr>
      </w:pPr>
      <w:r>
        <w:rPr>
          <w:rFonts w:ascii="Calibri" w:hAnsi="Calibri" w:eastAsia="宋体" w:cs="Times New Roman"/>
          <w:bCs/>
          <w:sz w:val="18"/>
          <w:szCs w:val="20"/>
        </w:rPr>
        <w:t xml:space="preserve">年   月   日                      </w:t>
      </w:r>
      <w:r>
        <w:rPr>
          <w:rFonts w:hint="eastAsia" w:ascii="Calibri" w:hAnsi="Calibri" w:eastAsia="宋体" w:cs="Times New Roman"/>
          <w:bCs/>
          <w:sz w:val="18"/>
          <w:szCs w:val="20"/>
        </w:rPr>
        <w:t xml:space="preserve">       </w:t>
      </w:r>
      <w:r>
        <w:rPr>
          <w:rFonts w:ascii="Calibri" w:hAnsi="Calibri" w:eastAsia="宋体" w:cs="Times New Roman"/>
          <w:bCs/>
          <w:sz w:val="18"/>
          <w:szCs w:val="20"/>
        </w:rPr>
        <w:t xml:space="preserve"> 年   月  日</w:t>
      </w:r>
    </w:p>
    <w:p>
      <w:pPr>
        <w:numPr>
          <w:ilvl w:val="0"/>
          <w:numId w:val="0"/>
        </w:numPr>
        <w:jc w:val="left"/>
        <w:rPr>
          <w:rFonts w:hint="default"/>
          <w:b/>
          <w:bCs/>
          <w:sz w:val="24"/>
          <w:lang w:val="en-US" w:eastAsia="zh-CN"/>
        </w:rPr>
      </w:pPr>
    </w:p>
    <w:sectPr>
      <w:pgSz w:w="11906" w:h="16838"/>
      <w:pgMar w:top="850" w:right="1417" w:bottom="850" w:left="141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Calibri Light">
    <w:altName w:val="Calibri"/>
    <w:panose1 w:val="020F0302020204030204"/>
    <w:charset w:val="00"/>
    <w:family w:val="swiss"/>
    <w:pitch w:val="default"/>
    <w:sig w:usb0="00000000" w:usb1="00000000" w:usb2="00000009" w:usb3="00000000" w:csb0="200001FF" w:csb1="00000000"/>
  </w:font>
  <w:font w:name="Verdana">
    <w:panose1 w:val="020B0604030504040204"/>
    <w:charset w:val="00"/>
    <w:family w:val="swiss"/>
    <w:pitch w:val="default"/>
    <w:sig w:usb0="A10006FF" w:usb1="4000205B" w:usb2="0000001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9341B"/>
    <w:multiLevelType w:val="multilevel"/>
    <w:tmpl w:val="9239341B"/>
    <w:lvl w:ilvl="0" w:tentative="0">
      <w:start w:val="1"/>
      <w:numFmt w:val="decimal"/>
      <w:lvlText w:val="%1."/>
      <w:lvlJc w:val="left"/>
      <w:pPr>
        <w:ind w:left="521" w:hanging="171"/>
      </w:pPr>
      <w:rPr>
        <w:rFonts w:hint="default" w:ascii="Verdana" w:hAnsi="Verdana" w:eastAsia="Verdana" w:cs="Verdana"/>
        <w:spacing w:val="-2"/>
        <w:w w:val="98"/>
        <w:sz w:val="15"/>
        <w:szCs w:val="15"/>
        <w:lang w:val="zh-CN" w:eastAsia="zh-CN" w:bidi="zh-CN"/>
      </w:rPr>
    </w:lvl>
    <w:lvl w:ilvl="1" w:tentative="0">
      <w:start w:val="0"/>
      <w:numFmt w:val="bullet"/>
      <w:lvlText w:val="•"/>
      <w:lvlJc w:val="left"/>
      <w:pPr>
        <w:ind w:left="1522" w:hanging="171"/>
      </w:pPr>
      <w:rPr>
        <w:rFonts w:hint="default"/>
        <w:lang w:val="zh-CN" w:eastAsia="zh-CN" w:bidi="zh-CN"/>
      </w:rPr>
    </w:lvl>
    <w:lvl w:ilvl="2" w:tentative="0">
      <w:start w:val="0"/>
      <w:numFmt w:val="bullet"/>
      <w:lvlText w:val="•"/>
      <w:lvlJc w:val="left"/>
      <w:pPr>
        <w:ind w:left="2524" w:hanging="171"/>
      </w:pPr>
      <w:rPr>
        <w:rFonts w:hint="default"/>
        <w:lang w:val="zh-CN" w:eastAsia="zh-CN" w:bidi="zh-CN"/>
      </w:rPr>
    </w:lvl>
    <w:lvl w:ilvl="3" w:tentative="0">
      <w:start w:val="0"/>
      <w:numFmt w:val="bullet"/>
      <w:lvlText w:val="•"/>
      <w:lvlJc w:val="left"/>
      <w:pPr>
        <w:ind w:left="3526" w:hanging="171"/>
      </w:pPr>
      <w:rPr>
        <w:rFonts w:hint="default"/>
        <w:lang w:val="zh-CN" w:eastAsia="zh-CN" w:bidi="zh-CN"/>
      </w:rPr>
    </w:lvl>
    <w:lvl w:ilvl="4" w:tentative="0">
      <w:start w:val="0"/>
      <w:numFmt w:val="bullet"/>
      <w:lvlText w:val="•"/>
      <w:lvlJc w:val="left"/>
      <w:pPr>
        <w:ind w:left="4528" w:hanging="171"/>
      </w:pPr>
      <w:rPr>
        <w:rFonts w:hint="default"/>
        <w:lang w:val="zh-CN" w:eastAsia="zh-CN" w:bidi="zh-CN"/>
      </w:rPr>
    </w:lvl>
    <w:lvl w:ilvl="5" w:tentative="0">
      <w:start w:val="0"/>
      <w:numFmt w:val="bullet"/>
      <w:lvlText w:val="•"/>
      <w:lvlJc w:val="left"/>
      <w:pPr>
        <w:ind w:left="5530" w:hanging="171"/>
      </w:pPr>
      <w:rPr>
        <w:rFonts w:hint="default"/>
        <w:lang w:val="zh-CN" w:eastAsia="zh-CN" w:bidi="zh-CN"/>
      </w:rPr>
    </w:lvl>
    <w:lvl w:ilvl="6" w:tentative="0">
      <w:start w:val="0"/>
      <w:numFmt w:val="bullet"/>
      <w:lvlText w:val="•"/>
      <w:lvlJc w:val="left"/>
      <w:pPr>
        <w:ind w:left="6532" w:hanging="171"/>
      </w:pPr>
      <w:rPr>
        <w:rFonts w:hint="default"/>
        <w:lang w:val="zh-CN" w:eastAsia="zh-CN" w:bidi="zh-CN"/>
      </w:rPr>
    </w:lvl>
    <w:lvl w:ilvl="7" w:tentative="0">
      <w:start w:val="0"/>
      <w:numFmt w:val="bullet"/>
      <w:lvlText w:val="•"/>
      <w:lvlJc w:val="left"/>
      <w:pPr>
        <w:ind w:left="7534" w:hanging="171"/>
      </w:pPr>
      <w:rPr>
        <w:rFonts w:hint="default"/>
        <w:lang w:val="zh-CN" w:eastAsia="zh-CN" w:bidi="zh-CN"/>
      </w:rPr>
    </w:lvl>
    <w:lvl w:ilvl="8" w:tentative="0">
      <w:start w:val="0"/>
      <w:numFmt w:val="bullet"/>
      <w:lvlText w:val="•"/>
      <w:lvlJc w:val="left"/>
      <w:pPr>
        <w:ind w:left="8536" w:hanging="171"/>
      </w:pPr>
      <w:rPr>
        <w:rFonts w:hint="default"/>
        <w:lang w:val="zh-CN" w:eastAsia="zh-CN" w:bidi="zh-CN"/>
      </w:rPr>
    </w:lvl>
  </w:abstractNum>
  <w:abstractNum w:abstractNumId="1">
    <w:nsid w:val="B5E306ED"/>
    <w:multiLevelType w:val="multilevel"/>
    <w:tmpl w:val="B5E306ED"/>
    <w:lvl w:ilvl="0" w:tentative="0">
      <w:start w:val="1"/>
      <w:numFmt w:val="decimal"/>
      <w:lvlText w:val="%1."/>
      <w:lvlJc w:val="left"/>
      <w:pPr>
        <w:ind w:left="521" w:hanging="171"/>
      </w:pPr>
      <w:rPr>
        <w:rFonts w:hint="default" w:ascii="Verdana" w:hAnsi="Verdana" w:eastAsia="Verdana" w:cs="Verdana"/>
        <w:spacing w:val="-2"/>
        <w:w w:val="98"/>
        <w:sz w:val="15"/>
        <w:szCs w:val="15"/>
        <w:lang w:val="zh-CN" w:eastAsia="zh-CN" w:bidi="zh-CN"/>
      </w:rPr>
    </w:lvl>
    <w:lvl w:ilvl="1" w:tentative="0">
      <w:start w:val="0"/>
      <w:numFmt w:val="bullet"/>
      <w:lvlText w:val="•"/>
      <w:lvlJc w:val="left"/>
      <w:pPr>
        <w:ind w:left="1522" w:hanging="171"/>
      </w:pPr>
      <w:rPr>
        <w:rFonts w:hint="default"/>
        <w:lang w:val="zh-CN" w:eastAsia="zh-CN" w:bidi="zh-CN"/>
      </w:rPr>
    </w:lvl>
    <w:lvl w:ilvl="2" w:tentative="0">
      <w:start w:val="0"/>
      <w:numFmt w:val="bullet"/>
      <w:lvlText w:val="•"/>
      <w:lvlJc w:val="left"/>
      <w:pPr>
        <w:ind w:left="2524" w:hanging="171"/>
      </w:pPr>
      <w:rPr>
        <w:rFonts w:hint="default"/>
        <w:lang w:val="zh-CN" w:eastAsia="zh-CN" w:bidi="zh-CN"/>
      </w:rPr>
    </w:lvl>
    <w:lvl w:ilvl="3" w:tentative="0">
      <w:start w:val="0"/>
      <w:numFmt w:val="bullet"/>
      <w:lvlText w:val="•"/>
      <w:lvlJc w:val="left"/>
      <w:pPr>
        <w:ind w:left="3526" w:hanging="171"/>
      </w:pPr>
      <w:rPr>
        <w:rFonts w:hint="default"/>
        <w:lang w:val="zh-CN" w:eastAsia="zh-CN" w:bidi="zh-CN"/>
      </w:rPr>
    </w:lvl>
    <w:lvl w:ilvl="4" w:tentative="0">
      <w:start w:val="0"/>
      <w:numFmt w:val="bullet"/>
      <w:lvlText w:val="•"/>
      <w:lvlJc w:val="left"/>
      <w:pPr>
        <w:ind w:left="4528" w:hanging="171"/>
      </w:pPr>
      <w:rPr>
        <w:rFonts w:hint="default"/>
        <w:lang w:val="zh-CN" w:eastAsia="zh-CN" w:bidi="zh-CN"/>
      </w:rPr>
    </w:lvl>
    <w:lvl w:ilvl="5" w:tentative="0">
      <w:start w:val="0"/>
      <w:numFmt w:val="bullet"/>
      <w:lvlText w:val="•"/>
      <w:lvlJc w:val="left"/>
      <w:pPr>
        <w:ind w:left="5530" w:hanging="171"/>
      </w:pPr>
      <w:rPr>
        <w:rFonts w:hint="default"/>
        <w:lang w:val="zh-CN" w:eastAsia="zh-CN" w:bidi="zh-CN"/>
      </w:rPr>
    </w:lvl>
    <w:lvl w:ilvl="6" w:tentative="0">
      <w:start w:val="0"/>
      <w:numFmt w:val="bullet"/>
      <w:lvlText w:val="•"/>
      <w:lvlJc w:val="left"/>
      <w:pPr>
        <w:ind w:left="6532" w:hanging="171"/>
      </w:pPr>
      <w:rPr>
        <w:rFonts w:hint="default"/>
        <w:lang w:val="zh-CN" w:eastAsia="zh-CN" w:bidi="zh-CN"/>
      </w:rPr>
    </w:lvl>
    <w:lvl w:ilvl="7" w:tentative="0">
      <w:start w:val="0"/>
      <w:numFmt w:val="bullet"/>
      <w:lvlText w:val="•"/>
      <w:lvlJc w:val="left"/>
      <w:pPr>
        <w:ind w:left="7534" w:hanging="171"/>
      </w:pPr>
      <w:rPr>
        <w:rFonts w:hint="default"/>
        <w:lang w:val="zh-CN" w:eastAsia="zh-CN" w:bidi="zh-CN"/>
      </w:rPr>
    </w:lvl>
    <w:lvl w:ilvl="8" w:tentative="0">
      <w:start w:val="0"/>
      <w:numFmt w:val="bullet"/>
      <w:lvlText w:val="•"/>
      <w:lvlJc w:val="left"/>
      <w:pPr>
        <w:ind w:left="8536" w:hanging="171"/>
      </w:pPr>
      <w:rPr>
        <w:rFonts w:hint="default"/>
        <w:lang w:val="zh-CN" w:eastAsia="zh-CN" w:bidi="zh-CN"/>
      </w:rPr>
    </w:lvl>
  </w:abstractNum>
  <w:abstractNum w:abstractNumId="2">
    <w:nsid w:val="BF205925"/>
    <w:multiLevelType w:val="multilevel"/>
    <w:tmpl w:val="BF205925"/>
    <w:lvl w:ilvl="0" w:tentative="0">
      <w:start w:val="1"/>
      <w:numFmt w:val="decimal"/>
      <w:lvlText w:val="（%1）"/>
      <w:lvlJc w:val="left"/>
      <w:pPr>
        <w:ind w:left="796" w:hanging="446"/>
      </w:pPr>
      <w:rPr>
        <w:rFonts w:hint="default" w:ascii="宋体" w:hAnsi="宋体" w:eastAsia="宋体" w:cs="宋体"/>
        <w:spacing w:val="-13"/>
        <w:w w:val="98"/>
        <w:sz w:val="15"/>
        <w:szCs w:val="15"/>
        <w:lang w:val="zh-CN" w:eastAsia="zh-CN" w:bidi="zh-CN"/>
      </w:rPr>
    </w:lvl>
    <w:lvl w:ilvl="1" w:tentative="0">
      <w:start w:val="0"/>
      <w:numFmt w:val="bullet"/>
      <w:lvlText w:val="•"/>
      <w:lvlJc w:val="left"/>
      <w:pPr>
        <w:ind w:left="1774" w:hanging="446"/>
      </w:pPr>
      <w:rPr>
        <w:rFonts w:hint="default"/>
        <w:lang w:val="zh-CN" w:eastAsia="zh-CN" w:bidi="zh-CN"/>
      </w:rPr>
    </w:lvl>
    <w:lvl w:ilvl="2" w:tentative="0">
      <w:start w:val="0"/>
      <w:numFmt w:val="bullet"/>
      <w:lvlText w:val="•"/>
      <w:lvlJc w:val="left"/>
      <w:pPr>
        <w:ind w:left="2748" w:hanging="446"/>
      </w:pPr>
      <w:rPr>
        <w:rFonts w:hint="default"/>
        <w:lang w:val="zh-CN" w:eastAsia="zh-CN" w:bidi="zh-CN"/>
      </w:rPr>
    </w:lvl>
    <w:lvl w:ilvl="3" w:tentative="0">
      <w:start w:val="0"/>
      <w:numFmt w:val="bullet"/>
      <w:lvlText w:val="•"/>
      <w:lvlJc w:val="left"/>
      <w:pPr>
        <w:ind w:left="3722" w:hanging="446"/>
      </w:pPr>
      <w:rPr>
        <w:rFonts w:hint="default"/>
        <w:lang w:val="zh-CN" w:eastAsia="zh-CN" w:bidi="zh-CN"/>
      </w:rPr>
    </w:lvl>
    <w:lvl w:ilvl="4" w:tentative="0">
      <w:start w:val="0"/>
      <w:numFmt w:val="bullet"/>
      <w:lvlText w:val="•"/>
      <w:lvlJc w:val="left"/>
      <w:pPr>
        <w:ind w:left="4696" w:hanging="446"/>
      </w:pPr>
      <w:rPr>
        <w:rFonts w:hint="default"/>
        <w:lang w:val="zh-CN" w:eastAsia="zh-CN" w:bidi="zh-CN"/>
      </w:rPr>
    </w:lvl>
    <w:lvl w:ilvl="5" w:tentative="0">
      <w:start w:val="0"/>
      <w:numFmt w:val="bullet"/>
      <w:lvlText w:val="•"/>
      <w:lvlJc w:val="left"/>
      <w:pPr>
        <w:ind w:left="5670" w:hanging="446"/>
      </w:pPr>
      <w:rPr>
        <w:rFonts w:hint="default"/>
        <w:lang w:val="zh-CN" w:eastAsia="zh-CN" w:bidi="zh-CN"/>
      </w:rPr>
    </w:lvl>
    <w:lvl w:ilvl="6" w:tentative="0">
      <w:start w:val="0"/>
      <w:numFmt w:val="bullet"/>
      <w:lvlText w:val="•"/>
      <w:lvlJc w:val="left"/>
      <w:pPr>
        <w:ind w:left="6644" w:hanging="446"/>
      </w:pPr>
      <w:rPr>
        <w:rFonts w:hint="default"/>
        <w:lang w:val="zh-CN" w:eastAsia="zh-CN" w:bidi="zh-CN"/>
      </w:rPr>
    </w:lvl>
    <w:lvl w:ilvl="7" w:tentative="0">
      <w:start w:val="0"/>
      <w:numFmt w:val="bullet"/>
      <w:lvlText w:val="•"/>
      <w:lvlJc w:val="left"/>
      <w:pPr>
        <w:ind w:left="7618" w:hanging="446"/>
      </w:pPr>
      <w:rPr>
        <w:rFonts w:hint="default"/>
        <w:lang w:val="zh-CN" w:eastAsia="zh-CN" w:bidi="zh-CN"/>
      </w:rPr>
    </w:lvl>
    <w:lvl w:ilvl="8" w:tentative="0">
      <w:start w:val="0"/>
      <w:numFmt w:val="bullet"/>
      <w:lvlText w:val="•"/>
      <w:lvlJc w:val="left"/>
      <w:pPr>
        <w:ind w:left="8592" w:hanging="446"/>
      </w:pPr>
      <w:rPr>
        <w:rFonts w:hint="default"/>
        <w:lang w:val="zh-CN" w:eastAsia="zh-CN" w:bidi="zh-CN"/>
      </w:rPr>
    </w:lvl>
  </w:abstractNum>
  <w:abstractNum w:abstractNumId="3">
    <w:nsid w:val="CF092B84"/>
    <w:multiLevelType w:val="multilevel"/>
    <w:tmpl w:val="CF092B84"/>
    <w:lvl w:ilvl="0" w:tentative="0">
      <w:start w:val="1"/>
      <w:numFmt w:val="decimal"/>
      <w:lvlText w:val="%1."/>
      <w:lvlJc w:val="left"/>
      <w:pPr>
        <w:ind w:left="521" w:hanging="171"/>
      </w:pPr>
      <w:rPr>
        <w:rFonts w:hint="default" w:ascii="Verdana" w:hAnsi="Verdana" w:eastAsia="Verdana" w:cs="Verdana"/>
        <w:spacing w:val="-2"/>
        <w:w w:val="98"/>
        <w:sz w:val="15"/>
        <w:szCs w:val="15"/>
        <w:lang w:val="zh-CN" w:eastAsia="zh-CN" w:bidi="zh-CN"/>
      </w:rPr>
    </w:lvl>
    <w:lvl w:ilvl="1" w:tentative="0">
      <w:start w:val="0"/>
      <w:numFmt w:val="bullet"/>
      <w:lvlText w:val="•"/>
      <w:lvlJc w:val="left"/>
      <w:pPr>
        <w:ind w:left="1522" w:hanging="171"/>
      </w:pPr>
      <w:rPr>
        <w:rFonts w:hint="default"/>
        <w:lang w:val="zh-CN" w:eastAsia="zh-CN" w:bidi="zh-CN"/>
      </w:rPr>
    </w:lvl>
    <w:lvl w:ilvl="2" w:tentative="0">
      <w:start w:val="0"/>
      <w:numFmt w:val="bullet"/>
      <w:lvlText w:val="•"/>
      <w:lvlJc w:val="left"/>
      <w:pPr>
        <w:ind w:left="2524" w:hanging="171"/>
      </w:pPr>
      <w:rPr>
        <w:rFonts w:hint="default"/>
        <w:lang w:val="zh-CN" w:eastAsia="zh-CN" w:bidi="zh-CN"/>
      </w:rPr>
    </w:lvl>
    <w:lvl w:ilvl="3" w:tentative="0">
      <w:start w:val="0"/>
      <w:numFmt w:val="bullet"/>
      <w:lvlText w:val="•"/>
      <w:lvlJc w:val="left"/>
      <w:pPr>
        <w:ind w:left="3526" w:hanging="171"/>
      </w:pPr>
      <w:rPr>
        <w:rFonts w:hint="default"/>
        <w:lang w:val="zh-CN" w:eastAsia="zh-CN" w:bidi="zh-CN"/>
      </w:rPr>
    </w:lvl>
    <w:lvl w:ilvl="4" w:tentative="0">
      <w:start w:val="0"/>
      <w:numFmt w:val="bullet"/>
      <w:lvlText w:val="•"/>
      <w:lvlJc w:val="left"/>
      <w:pPr>
        <w:ind w:left="4528" w:hanging="171"/>
      </w:pPr>
      <w:rPr>
        <w:rFonts w:hint="default"/>
        <w:lang w:val="zh-CN" w:eastAsia="zh-CN" w:bidi="zh-CN"/>
      </w:rPr>
    </w:lvl>
    <w:lvl w:ilvl="5" w:tentative="0">
      <w:start w:val="0"/>
      <w:numFmt w:val="bullet"/>
      <w:lvlText w:val="•"/>
      <w:lvlJc w:val="left"/>
      <w:pPr>
        <w:ind w:left="5530" w:hanging="171"/>
      </w:pPr>
      <w:rPr>
        <w:rFonts w:hint="default"/>
        <w:lang w:val="zh-CN" w:eastAsia="zh-CN" w:bidi="zh-CN"/>
      </w:rPr>
    </w:lvl>
    <w:lvl w:ilvl="6" w:tentative="0">
      <w:start w:val="0"/>
      <w:numFmt w:val="bullet"/>
      <w:lvlText w:val="•"/>
      <w:lvlJc w:val="left"/>
      <w:pPr>
        <w:ind w:left="6532" w:hanging="171"/>
      </w:pPr>
      <w:rPr>
        <w:rFonts w:hint="default"/>
        <w:lang w:val="zh-CN" w:eastAsia="zh-CN" w:bidi="zh-CN"/>
      </w:rPr>
    </w:lvl>
    <w:lvl w:ilvl="7" w:tentative="0">
      <w:start w:val="0"/>
      <w:numFmt w:val="bullet"/>
      <w:lvlText w:val="•"/>
      <w:lvlJc w:val="left"/>
      <w:pPr>
        <w:ind w:left="7534" w:hanging="171"/>
      </w:pPr>
      <w:rPr>
        <w:rFonts w:hint="default"/>
        <w:lang w:val="zh-CN" w:eastAsia="zh-CN" w:bidi="zh-CN"/>
      </w:rPr>
    </w:lvl>
    <w:lvl w:ilvl="8" w:tentative="0">
      <w:start w:val="0"/>
      <w:numFmt w:val="bullet"/>
      <w:lvlText w:val="•"/>
      <w:lvlJc w:val="left"/>
      <w:pPr>
        <w:ind w:left="8536" w:hanging="171"/>
      </w:pPr>
      <w:rPr>
        <w:rFonts w:hint="default"/>
        <w:lang w:val="zh-CN" w:eastAsia="zh-CN" w:bidi="zh-CN"/>
      </w:rPr>
    </w:lvl>
  </w:abstractNum>
  <w:abstractNum w:abstractNumId="4">
    <w:nsid w:val="0053208E"/>
    <w:multiLevelType w:val="multilevel"/>
    <w:tmpl w:val="0053208E"/>
    <w:lvl w:ilvl="0" w:tentative="0">
      <w:start w:val="1"/>
      <w:numFmt w:val="decimal"/>
      <w:lvlText w:val="%1."/>
      <w:lvlJc w:val="left"/>
      <w:pPr>
        <w:ind w:left="521" w:hanging="171"/>
      </w:pPr>
      <w:rPr>
        <w:rFonts w:hint="default" w:ascii="Verdana" w:hAnsi="Verdana" w:eastAsia="Verdana" w:cs="Verdana"/>
        <w:spacing w:val="-2"/>
        <w:w w:val="98"/>
        <w:sz w:val="15"/>
        <w:szCs w:val="15"/>
        <w:lang w:val="zh-CN" w:eastAsia="zh-CN" w:bidi="zh-CN"/>
      </w:rPr>
    </w:lvl>
    <w:lvl w:ilvl="1" w:tentative="0">
      <w:start w:val="0"/>
      <w:numFmt w:val="bullet"/>
      <w:lvlText w:val="•"/>
      <w:lvlJc w:val="left"/>
      <w:pPr>
        <w:ind w:left="1522" w:hanging="171"/>
      </w:pPr>
      <w:rPr>
        <w:rFonts w:hint="default"/>
        <w:lang w:val="zh-CN" w:eastAsia="zh-CN" w:bidi="zh-CN"/>
      </w:rPr>
    </w:lvl>
    <w:lvl w:ilvl="2" w:tentative="0">
      <w:start w:val="0"/>
      <w:numFmt w:val="bullet"/>
      <w:lvlText w:val="•"/>
      <w:lvlJc w:val="left"/>
      <w:pPr>
        <w:ind w:left="2524" w:hanging="171"/>
      </w:pPr>
      <w:rPr>
        <w:rFonts w:hint="default"/>
        <w:lang w:val="zh-CN" w:eastAsia="zh-CN" w:bidi="zh-CN"/>
      </w:rPr>
    </w:lvl>
    <w:lvl w:ilvl="3" w:tentative="0">
      <w:start w:val="0"/>
      <w:numFmt w:val="bullet"/>
      <w:lvlText w:val="•"/>
      <w:lvlJc w:val="left"/>
      <w:pPr>
        <w:ind w:left="3526" w:hanging="171"/>
      </w:pPr>
      <w:rPr>
        <w:rFonts w:hint="default"/>
        <w:lang w:val="zh-CN" w:eastAsia="zh-CN" w:bidi="zh-CN"/>
      </w:rPr>
    </w:lvl>
    <w:lvl w:ilvl="4" w:tentative="0">
      <w:start w:val="0"/>
      <w:numFmt w:val="bullet"/>
      <w:lvlText w:val="•"/>
      <w:lvlJc w:val="left"/>
      <w:pPr>
        <w:ind w:left="4528" w:hanging="171"/>
      </w:pPr>
      <w:rPr>
        <w:rFonts w:hint="default"/>
        <w:lang w:val="zh-CN" w:eastAsia="zh-CN" w:bidi="zh-CN"/>
      </w:rPr>
    </w:lvl>
    <w:lvl w:ilvl="5" w:tentative="0">
      <w:start w:val="0"/>
      <w:numFmt w:val="bullet"/>
      <w:lvlText w:val="•"/>
      <w:lvlJc w:val="left"/>
      <w:pPr>
        <w:ind w:left="5530" w:hanging="171"/>
      </w:pPr>
      <w:rPr>
        <w:rFonts w:hint="default"/>
        <w:lang w:val="zh-CN" w:eastAsia="zh-CN" w:bidi="zh-CN"/>
      </w:rPr>
    </w:lvl>
    <w:lvl w:ilvl="6" w:tentative="0">
      <w:start w:val="0"/>
      <w:numFmt w:val="bullet"/>
      <w:lvlText w:val="•"/>
      <w:lvlJc w:val="left"/>
      <w:pPr>
        <w:ind w:left="6532" w:hanging="171"/>
      </w:pPr>
      <w:rPr>
        <w:rFonts w:hint="default"/>
        <w:lang w:val="zh-CN" w:eastAsia="zh-CN" w:bidi="zh-CN"/>
      </w:rPr>
    </w:lvl>
    <w:lvl w:ilvl="7" w:tentative="0">
      <w:start w:val="0"/>
      <w:numFmt w:val="bullet"/>
      <w:lvlText w:val="•"/>
      <w:lvlJc w:val="left"/>
      <w:pPr>
        <w:ind w:left="7534" w:hanging="171"/>
      </w:pPr>
      <w:rPr>
        <w:rFonts w:hint="default"/>
        <w:lang w:val="zh-CN" w:eastAsia="zh-CN" w:bidi="zh-CN"/>
      </w:rPr>
    </w:lvl>
    <w:lvl w:ilvl="8" w:tentative="0">
      <w:start w:val="0"/>
      <w:numFmt w:val="bullet"/>
      <w:lvlText w:val="•"/>
      <w:lvlJc w:val="left"/>
      <w:pPr>
        <w:ind w:left="8536" w:hanging="171"/>
      </w:pPr>
      <w:rPr>
        <w:rFonts w:hint="default"/>
        <w:lang w:val="zh-CN" w:eastAsia="zh-CN" w:bidi="zh-CN"/>
      </w:rPr>
    </w:lvl>
  </w:abstractNum>
  <w:abstractNum w:abstractNumId="5">
    <w:nsid w:val="0248C179"/>
    <w:multiLevelType w:val="multilevel"/>
    <w:tmpl w:val="0248C179"/>
    <w:lvl w:ilvl="0" w:tentative="0">
      <w:start w:val="1"/>
      <w:numFmt w:val="decimal"/>
      <w:lvlText w:val="%1."/>
      <w:lvlJc w:val="left"/>
      <w:pPr>
        <w:ind w:left="521" w:hanging="171"/>
      </w:pPr>
      <w:rPr>
        <w:rFonts w:hint="default" w:ascii="Verdana" w:hAnsi="Verdana" w:eastAsia="Verdana" w:cs="Verdana"/>
        <w:spacing w:val="-2"/>
        <w:w w:val="98"/>
        <w:sz w:val="15"/>
        <w:szCs w:val="15"/>
        <w:lang w:val="zh-CN" w:eastAsia="zh-CN" w:bidi="zh-CN"/>
      </w:rPr>
    </w:lvl>
    <w:lvl w:ilvl="1" w:tentative="0">
      <w:start w:val="0"/>
      <w:numFmt w:val="bullet"/>
      <w:lvlText w:val="•"/>
      <w:lvlJc w:val="left"/>
      <w:pPr>
        <w:ind w:left="1522" w:hanging="171"/>
      </w:pPr>
      <w:rPr>
        <w:rFonts w:hint="default"/>
        <w:lang w:val="zh-CN" w:eastAsia="zh-CN" w:bidi="zh-CN"/>
      </w:rPr>
    </w:lvl>
    <w:lvl w:ilvl="2" w:tentative="0">
      <w:start w:val="0"/>
      <w:numFmt w:val="bullet"/>
      <w:lvlText w:val="•"/>
      <w:lvlJc w:val="left"/>
      <w:pPr>
        <w:ind w:left="2524" w:hanging="171"/>
      </w:pPr>
      <w:rPr>
        <w:rFonts w:hint="default"/>
        <w:lang w:val="zh-CN" w:eastAsia="zh-CN" w:bidi="zh-CN"/>
      </w:rPr>
    </w:lvl>
    <w:lvl w:ilvl="3" w:tentative="0">
      <w:start w:val="0"/>
      <w:numFmt w:val="bullet"/>
      <w:lvlText w:val="•"/>
      <w:lvlJc w:val="left"/>
      <w:pPr>
        <w:ind w:left="3526" w:hanging="171"/>
      </w:pPr>
      <w:rPr>
        <w:rFonts w:hint="default"/>
        <w:lang w:val="zh-CN" w:eastAsia="zh-CN" w:bidi="zh-CN"/>
      </w:rPr>
    </w:lvl>
    <w:lvl w:ilvl="4" w:tentative="0">
      <w:start w:val="0"/>
      <w:numFmt w:val="bullet"/>
      <w:lvlText w:val="•"/>
      <w:lvlJc w:val="left"/>
      <w:pPr>
        <w:ind w:left="4528" w:hanging="171"/>
      </w:pPr>
      <w:rPr>
        <w:rFonts w:hint="default"/>
        <w:lang w:val="zh-CN" w:eastAsia="zh-CN" w:bidi="zh-CN"/>
      </w:rPr>
    </w:lvl>
    <w:lvl w:ilvl="5" w:tentative="0">
      <w:start w:val="0"/>
      <w:numFmt w:val="bullet"/>
      <w:lvlText w:val="•"/>
      <w:lvlJc w:val="left"/>
      <w:pPr>
        <w:ind w:left="5530" w:hanging="171"/>
      </w:pPr>
      <w:rPr>
        <w:rFonts w:hint="default"/>
        <w:lang w:val="zh-CN" w:eastAsia="zh-CN" w:bidi="zh-CN"/>
      </w:rPr>
    </w:lvl>
    <w:lvl w:ilvl="6" w:tentative="0">
      <w:start w:val="0"/>
      <w:numFmt w:val="bullet"/>
      <w:lvlText w:val="•"/>
      <w:lvlJc w:val="left"/>
      <w:pPr>
        <w:ind w:left="6532" w:hanging="171"/>
      </w:pPr>
      <w:rPr>
        <w:rFonts w:hint="default"/>
        <w:lang w:val="zh-CN" w:eastAsia="zh-CN" w:bidi="zh-CN"/>
      </w:rPr>
    </w:lvl>
    <w:lvl w:ilvl="7" w:tentative="0">
      <w:start w:val="0"/>
      <w:numFmt w:val="bullet"/>
      <w:lvlText w:val="•"/>
      <w:lvlJc w:val="left"/>
      <w:pPr>
        <w:ind w:left="7534" w:hanging="171"/>
      </w:pPr>
      <w:rPr>
        <w:rFonts w:hint="default"/>
        <w:lang w:val="zh-CN" w:eastAsia="zh-CN" w:bidi="zh-CN"/>
      </w:rPr>
    </w:lvl>
    <w:lvl w:ilvl="8" w:tentative="0">
      <w:start w:val="0"/>
      <w:numFmt w:val="bullet"/>
      <w:lvlText w:val="•"/>
      <w:lvlJc w:val="left"/>
      <w:pPr>
        <w:ind w:left="8536" w:hanging="171"/>
      </w:pPr>
      <w:rPr>
        <w:rFonts w:hint="default"/>
        <w:lang w:val="zh-CN" w:eastAsia="zh-CN" w:bidi="zh-CN"/>
      </w:rPr>
    </w:lvl>
  </w:abstractNum>
  <w:abstractNum w:abstractNumId="6">
    <w:nsid w:val="03D62ECE"/>
    <w:multiLevelType w:val="multilevel"/>
    <w:tmpl w:val="03D62ECE"/>
    <w:lvl w:ilvl="0" w:tentative="0">
      <w:start w:val="1"/>
      <w:numFmt w:val="decimal"/>
      <w:lvlText w:val="（%1）"/>
      <w:lvlJc w:val="left"/>
      <w:pPr>
        <w:ind w:left="796" w:hanging="446"/>
      </w:pPr>
      <w:rPr>
        <w:rFonts w:hint="default" w:ascii="宋体" w:hAnsi="宋体" w:eastAsia="宋体" w:cs="宋体"/>
        <w:w w:val="98"/>
        <w:sz w:val="15"/>
        <w:szCs w:val="15"/>
        <w:lang w:val="zh-CN" w:eastAsia="zh-CN" w:bidi="zh-CN"/>
      </w:rPr>
    </w:lvl>
    <w:lvl w:ilvl="1" w:tentative="0">
      <w:start w:val="0"/>
      <w:numFmt w:val="bullet"/>
      <w:lvlText w:val="•"/>
      <w:lvlJc w:val="left"/>
      <w:pPr>
        <w:ind w:left="1774" w:hanging="446"/>
      </w:pPr>
      <w:rPr>
        <w:rFonts w:hint="default"/>
        <w:lang w:val="zh-CN" w:eastAsia="zh-CN" w:bidi="zh-CN"/>
      </w:rPr>
    </w:lvl>
    <w:lvl w:ilvl="2" w:tentative="0">
      <w:start w:val="0"/>
      <w:numFmt w:val="bullet"/>
      <w:lvlText w:val="•"/>
      <w:lvlJc w:val="left"/>
      <w:pPr>
        <w:ind w:left="2748" w:hanging="446"/>
      </w:pPr>
      <w:rPr>
        <w:rFonts w:hint="default"/>
        <w:lang w:val="zh-CN" w:eastAsia="zh-CN" w:bidi="zh-CN"/>
      </w:rPr>
    </w:lvl>
    <w:lvl w:ilvl="3" w:tentative="0">
      <w:start w:val="0"/>
      <w:numFmt w:val="bullet"/>
      <w:lvlText w:val="•"/>
      <w:lvlJc w:val="left"/>
      <w:pPr>
        <w:ind w:left="3722" w:hanging="446"/>
      </w:pPr>
      <w:rPr>
        <w:rFonts w:hint="default"/>
        <w:lang w:val="zh-CN" w:eastAsia="zh-CN" w:bidi="zh-CN"/>
      </w:rPr>
    </w:lvl>
    <w:lvl w:ilvl="4" w:tentative="0">
      <w:start w:val="0"/>
      <w:numFmt w:val="bullet"/>
      <w:lvlText w:val="•"/>
      <w:lvlJc w:val="left"/>
      <w:pPr>
        <w:ind w:left="4696" w:hanging="446"/>
      </w:pPr>
      <w:rPr>
        <w:rFonts w:hint="default"/>
        <w:lang w:val="zh-CN" w:eastAsia="zh-CN" w:bidi="zh-CN"/>
      </w:rPr>
    </w:lvl>
    <w:lvl w:ilvl="5" w:tentative="0">
      <w:start w:val="0"/>
      <w:numFmt w:val="bullet"/>
      <w:lvlText w:val="•"/>
      <w:lvlJc w:val="left"/>
      <w:pPr>
        <w:ind w:left="5670" w:hanging="446"/>
      </w:pPr>
      <w:rPr>
        <w:rFonts w:hint="default"/>
        <w:lang w:val="zh-CN" w:eastAsia="zh-CN" w:bidi="zh-CN"/>
      </w:rPr>
    </w:lvl>
    <w:lvl w:ilvl="6" w:tentative="0">
      <w:start w:val="0"/>
      <w:numFmt w:val="bullet"/>
      <w:lvlText w:val="•"/>
      <w:lvlJc w:val="left"/>
      <w:pPr>
        <w:ind w:left="6644" w:hanging="446"/>
      </w:pPr>
      <w:rPr>
        <w:rFonts w:hint="default"/>
        <w:lang w:val="zh-CN" w:eastAsia="zh-CN" w:bidi="zh-CN"/>
      </w:rPr>
    </w:lvl>
    <w:lvl w:ilvl="7" w:tentative="0">
      <w:start w:val="0"/>
      <w:numFmt w:val="bullet"/>
      <w:lvlText w:val="•"/>
      <w:lvlJc w:val="left"/>
      <w:pPr>
        <w:ind w:left="7618" w:hanging="446"/>
      </w:pPr>
      <w:rPr>
        <w:rFonts w:hint="default"/>
        <w:lang w:val="zh-CN" w:eastAsia="zh-CN" w:bidi="zh-CN"/>
      </w:rPr>
    </w:lvl>
    <w:lvl w:ilvl="8" w:tentative="0">
      <w:start w:val="0"/>
      <w:numFmt w:val="bullet"/>
      <w:lvlText w:val="•"/>
      <w:lvlJc w:val="left"/>
      <w:pPr>
        <w:ind w:left="8592" w:hanging="446"/>
      </w:pPr>
      <w:rPr>
        <w:rFonts w:hint="default"/>
        <w:lang w:val="zh-CN" w:eastAsia="zh-CN" w:bidi="zh-CN"/>
      </w:rPr>
    </w:lvl>
  </w:abstractNum>
  <w:abstractNum w:abstractNumId="7">
    <w:nsid w:val="0EF21C84"/>
    <w:multiLevelType w:val="multilevel"/>
    <w:tmpl w:val="0EF21C84"/>
    <w:lvl w:ilvl="0" w:tentative="0">
      <w:start w:val="1"/>
      <w:numFmt w:val="japaneseCounting"/>
      <w:lvlText w:val="%1、"/>
      <w:lvlJc w:val="left"/>
      <w:pPr>
        <w:ind w:left="525" w:hanging="420"/>
      </w:pPr>
      <w:rPr>
        <w:rFonts w:hint="default"/>
      </w:rPr>
    </w:lvl>
    <w:lvl w:ilvl="1" w:tentative="0">
      <w:start w:val="1"/>
      <w:numFmt w:val="lowerLetter"/>
      <w:lvlText w:val="%2)"/>
      <w:lvlJc w:val="left"/>
      <w:pPr>
        <w:ind w:left="945" w:hanging="420"/>
      </w:pPr>
    </w:lvl>
    <w:lvl w:ilvl="2" w:tentative="0">
      <w:start w:val="1"/>
      <w:numFmt w:val="lowerRoman"/>
      <w:lvlText w:val="%3."/>
      <w:lvlJc w:val="right"/>
      <w:pPr>
        <w:ind w:left="1365" w:hanging="420"/>
      </w:pPr>
    </w:lvl>
    <w:lvl w:ilvl="3" w:tentative="0">
      <w:start w:val="1"/>
      <w:numFmt w:val="decimal"/>
      <w:lvlText w:val="%4."/>
      <w:lvlJc w:val="left"/>
      <w:pPr>
        <w:ind w:left="1785" w:hanging="420"/>
      </w:pPr>
    </w:lvl>
    <w:lvl w:ilvl="4" w:tentative="0">
      <w:start w:val="1"/>
      <w:numFmt w:val="lowerLetter"/>
      <w:lvlText w:val="%5)"/>
      <w:lvlJc w:val="left"/>
      <w:pPr>
        <w:ind w:left="2205" w:hanging="420"/>
      </w:pPr>
    </w:lvl>
    <w:lvl w:ilvl="5" w:tentative="0">
      <w:start w:val="1"/>
      <w:numFmt w:val="lowerRoman"/>
      <w:lvlText w:val="%6."/>
      <w:lvlJc w:val="right"/>
      <w:pPr>
        <w:ind w:left="2625" w:hanging="420"/>
      </w:pPr>
    </w:lvl>
    <w:lvl w:ilvl="6" w:tentative="0">
      <w:start w:val="1"/>
      <w:numFmt w:val="decimal"/>
      <w:lvlText w:val="%7."/>
      <w:lvlJc w:val="left"/>
      <w:pPr>
        <w:ind w:left="3045" w:hanging="420"/>
      </w:pPr>
    </w:lvl>
    <w:lvl w:ilvl="7" w:tentative="0">
      <w:start w:val="1"/>
      <w:numFmt w:val="lowerLetter"/>
      <w:lvlText w:val="%8)"/>
      <w:lvlJc w:val="left"/>
      <w:pPr>
        <w:ind w:left="3465" w:hanging="420"/>
      </w:pPr>
    </w:lvl>
    <w:lvl w:ilvl="8" w:tentative="0">
      <w:start w:val="1"/>
      <w:numFmt w:val="lowerRoman"/>
      <w:lvlText w:val="%9."/>
      <w:lvlJc w:val="right"/>
      <w:pPr>
        <w:ind w:left="3885" w:hanging="420"/>
      </w:pPr>
    </w:lvl>
  </w:abstractNum>
  <w:abstractNum w:abstractNumId="8">
    <w:nsid w:val="11BBAE1D"/>
    <w:multiLevelType w:val="singleLevel"/>
    <w:tmpl w:val="11BBAE1D"/>
    <w:lvl w:ilvl="0" w:tentative="0">
      <w:start w:val="1"/>
      <w:numFmt w:val="chineseCounting"/>
      <w:suff w:val="nothing"/>
      <w:lvlText w:val="%1、"/>
      <w:lvlJc w:val="left"/>
      <w:rPr>
        <w:rFonts w:hint="eastAsia"/>
      </w:rPr>
    </w:lvl>
  </w:abstractNum>
  <w:abstractNum w:abstractNumId="9">
    <w:nsid w:val="1CFCF95C"/>
    <w:multiLevelType w:val="singleLevel"/>
    <w:tmpl w:val="1CFCF95C"/>
    <w:lvl w:ilvl="0" w:tentative="0">
      <w:start w:val="3"/>
      <w:numFmt w:val="decimal"/>
      <w:suff w:val="nothing"/>
      <w:lvlText w:val="%1、"/>
      <w:lvlJc w:val="left"/>
    </w:lvl>
  </w:abstractNum>
  <w:abstractNum w:abstractNumId="10">
    <w:nsid w:val="25B654F3"/>
    <w:multiLevelType w:val="multilevel"/>
    <w:tmpl w:val="25B654F3"/>
    <w:lvl w:ilvl="0" w:tentative="0">
      <w:start w:val="1"/>
      <w:numFmt w:val="decimal"/>
      <w:lvlText w:val="%1."/>
      <w:lvlJc w:val="left"/>
      <w:pPr>
        <w:ind w:left="521" w:hanging="171"/>
      </w:pPr>
      <w:rPr>
        <w:rFonts w:hint="default" w:ascii="Verdana" w:hAnsi="Verdana" w:eastAsia="Verdana" w:cs="Verdana"/>
        <w:spacing w:val="-2"/>
        <w:w w:val="98"/>
        <w:sz w:val="15"/>
        <w:szCs w:val="15"/>
        <w:lang w:val="zh-CN" w:eastAsia="zh-CN" w:bidi="zh-CN"/>
      </w:rPr>
    </w:lvl>
    <w:lvl w:ilvl="1" w:tentative="0">
      <w:start w:val="0"/>
      <w:numFmt w:val="bullet"/>
      <w:lvlText w:val="•"/>
      <w:lvlJc w:val="left"/>
      <w:pPr>
        <w:ind w:left="1522" w:hanging="171"/>
      </w:pPr>
      <w:rPr>
        <w:rFonts w:hint="default"/>
        <w:lang w:val="zh-CN" w:eastAsia="zh-CN" w:bidi="zh-CN"/>
      </w:rPr>
    </w:lvl>
    <w:lvl w:ilvl="2" w:tentative="0">
      <w:start w:val="0"/>
      <w:numFmt w:val="bullet"/>
      <w:lvlText w:val="•"/>
      <w:lvlJc w:val="left"/>
      <w:pPr>
        <w:ind w:left="2524" w:hanging="171"/>
      </w:pPr>
      <w:rPr>
        <w:rFonts w:hint="default"/>
        <w:lang w:val="zh-CN" w:eastAsia="zh-CN" w:bidi="zh-CN"/>
      </w:rPr>
    </w:lvl>
    <w:lvl w:ilvl="3" w:tentative="0">
      <w:start w:val="0"/>
      <w:numFmt w:val="bullet"/>
      <w:lvlText w:val="•"/>
      <w:lvlJc w:val="left"/>
      <w:pPr>
        <w:ind w:left="3526" w:hanging="171"/>
      </w:pPr>
      <w:rPr>
        <w:rFonts w:hint="default"/>
        <w:lang w:val="zh-CN" w:eastAsia="zh-CN" w:bidi="zh-CN"/>
      </w:rPr>
    </w:lvl>
    <w:lvl w:ilvl="4" w:tentative="0">
      <w:start w:val="0"/>
      <w:numFmt w:val="bullet"/>
      <w:lvlText w:val="•"/>
      <w:lvlJc w:val="left"/>
      <w:pPr>
        <w:ind w:left="4528" w:hanging="171"/>
      </w:pPr>
      <w:rPr>
        <w:rFonts w:hint="default"/>
        <w:lang w:val="zh-CN" w:eastAsia="zh-CN" w:bidi="zh-CN"/>
      </w:rPr>
    </w:lvl>
    <w:lvl w:ilvl="5" w:tentative="0">
      <w:start w:val="0"/>
      <w:numFmt w:val="bullet"/>
      <w:lvlText w:val="•"/>
      <w:lvlJc w:val="left"/>
      <w:pPr>
        <w:ind w:left="5530" w:hanging="171"/>
      </w:pPr>
      <w:rPr>
        <w:rFonts w:hint="default"/>
        <w:lang w:val="zh-CN" w:eastAsia="zh-CN" w:bidi="zh-CN"/>
      </w:rPr>
    </w:lvl>
    <w:lvl w:ilvl="6" w:tentative="0">
      <w:start w:val="0"/>
      <w:numFmt w:val="bullet"/>
      <w:lvlText w:val="•"/>
      <w:lvlJc w:val="left"/>
      <w:pPr>
        <w:ind w:left="6532" w:hanging="171"/>
      </w:pPr>
      <w:rPr>
        <w:rFonts w:hint="default"/>
        <w:lang w:val="zh-CN" w:eastAsia="zh-CN" w:bidi="zh-CN"/>
      </w:rPr>
    </w:lvl>
    <w:lvl w:ilvl="7" w:tentative="0">
      <w:start w:val="0"/>
      <w:numFmt w:val="bullet"/>
      <w:lvlText w:val="•"/>
      <w:lvlJc w:val="left"/>
      <w:pPr>
        <w:ind w:left="7534" w:hanging="171"/>
      </w:pPr>
      <w:rPr>
        <w:rFonts w:hint="default"/>
        <w:lang w:val="zh-CN" w:eastAsia="zh-CN" w:bidi="zh-CN"/>
      </w:rPr>
    </w:lvl>
    <w:lvl w:ilvl="8" w:tentative="0">
      <w:start w:val="0"/>
      <w:numFmt w:val="bullet"/>
      <w:lvlText w:val="•"/>
      <w:lvlJc w:val="left"/>
      <w:pPr>
        <w:ind w:left="8536" w:hanging="171"/>
      </w:pPr>
      <w:rPr>
        <w:rFonts w:hint="default"/>
        <w:lang w:val="zh-CN" w:eastAsia="zh-CN" w:bidi="zh-CN"/>
      </w:rPr>
    </w:lvl>
  </w:abstractNum>
  <w:abstractNum w:abstractNumId="11">
    <w:nsid w:val="2A8F537B"/>
    <w:multiLevelType w:val="multilevel"/>
    <w:tmpl w:val="2A8F537B"/>
    <w:lvl w:ilvl="0" w:tentative="0">
      <w:start w:val="1"/>
      <w:numFmt w:val="decimal"/>
      <w:lvlText w:val="%1."/>
      <w:lvlJc w:val="left"/>
      <w:pPr>
        <w:ind w:left="521" w:hanging="171"/>
      </w:pPr>
      <w:rPr>
        <w:rFonts w:hint="default" w:ascii="Verdana" w:hAnsi="Verdana" w:eastAsia="Verdana" w:cs="Verdana"/>
        <w:spacing w:val="-2"/>
        <w:w w:val="98"/>
        <w:sz w:val="15"/>
        <w:szCs w:val="15"/>
        <w:lang w:val="zh-CN" w:eastAsia="zh-CN" w:bidi="zh-CN"/>
      </w:rPr>
    </w:lvl>
    <w:lvl w:ilvl="1" w:tentative="0">
      <w:start w:val="0"/>
      <w:numFmt w:val="bullet"/>
      <w:lvlText w:val="•"/>
      <w:lvlJc w:val="left"/>
      <w:pPr>
        <w:ind w:left="1522" w:hanging="171"/>
      </w:pPr>
      <w:rPr>
        <w:rFonts w:hint="default"/>
        <w:lang w:val="zh-CN" w:eastAsia="zh-CN" w:bidi="zh-CN"/>
      </w:rPr>
    </w:lvl>
    <w:lvl w:ilvl="2" w:tentative="0">
      <w:start w:val="0"/>
      <w:numFmt w:val="bullet"/>
      <w:lvlText w:val="•"/>
      <w:lvlJc w:val="left"/>
      <w:pPr>
        <w:ind w:left="2524" w:hanging="171"/>
      </w:pPr>
      <w:rPr>
        <w:rFonts w:hint="default"/>
        <w:lang w:val="zh-CN" w:eastAsia="zh-CN" w:bidi="zh-CN"/>
      </w:rPr>
    </w:lvl>
    <w:lvl w:ilvl="3" w:tentative="0">
      <w:start w:val="0"/>
      <w:numFmt w:val="bullet"/>
      <w:lvlText w:val="•"/>
      <w:lvlJc w:val="left"/>
      <w:pPr>
        <w:ind w:left="3526" w:hanging="171"/>
      </w:pPr>
      <w:rPr>
        <w:rFonts w:hint="default"/>
        <w:lang w:val="zh-CN" w:eastAsia="zh-CN" w:bidi="zh-CN"/>
      </w:rPr>
    </w:lvl>
    <w:lvl w:ilvl="4" w:tentative="0">
      <w:start w:val="0"/>
      <w:numFmt w:val="bullet"/>
      <w:lvlText w:val="•"/>
      <w:lvlJc w:val="left"/>
      <w:pPr>
        <w:ind w:left="4528" w:hanging="171"/>
      </w:pPr>
      <w:rPr>
        <w:rFonts w:hint="default"/>
        <w:lang w:val="zh-CN" w:eastAsia="zh-CN" w:bidi="zh-CN"/>
      </w:rPr>
    </w:lvl>
    <w:lvl w:ilvl="5" w:tentative="0">
      <w:start w:val="0"/>
      <w:numFmt w:val="bullet"/>
      <w:lvlText w:val="•"/>
      <w:lvlJc w:val="left"/>
      <w:pPr>
        <w:ind w:left="5530" w:hanging="171"/>
      </w:pPr>
      <w:rPr>
        <w:rFonts w:hint="default"/>
        <w:lang w:val="zh-CN" w:eastAsia="zh-CN" w:bidi="zh-CN"/>
      </w:rPr>
    </w:lvl>
    <w:lvl w:ilvl="6" w:tentative="0">
      <w:start w:val="0"/>
      <w:numFmt w:val="bullet"/>
      <w:lvlText w:val="•"/>
      <w:lvlJc w:val="left"/>
      <w:pPr>
        <w:ind w:left="6532" w:hanging="171"/>
      </w:pPr>
      <w:rPr>
        <w:rFonts w:hint="default"/>
        <w:lang w:val="zh-CN" w:eastAsia="zh-CN" w:bidi="zh-CN"/>
      </w:rPr>
    </w:lvl>
    <w:lvl w:ilvl="7" w:tentative="0">
      <w:start w:val="0"/>
      <w:numFmt w:val="bullet"/>
      <w:lvlText w:val="•"/>
      <w:lvlJc w:val="left"/>
      <w:pPr>
        <w:ind w:left="7534" w:hanging="171"/>
      </w:pPr>
      <w:rPr>
        <w:rFonts w:hint="default"/>
        <w:lang w:val="zh-CN" w:eastAsia="zh-CN" w:bidi="zh-CN"/>
      </w:rPr>
    </w:lvl>
    <w:lvl w:ilvl="8" w:tentative="0">
      <w:start w:val="0"/>
      <w:numFmt w:val="bullet"/>
      <w:lvlText w:val="•"/>
      <w:lvlJc w:val="left"/>
      <w:pPr>
        <w:ind w:left="8536" w:hanging="171"/>
      </w:pPr>
      <w:rPr>
        <w:rFonts w:hint="default"/>
        <w:lang w:val="zh-CN" w:eastAsia="zh-CN" w:bidi="zh-CN"/>
      </w:rPr>
    </w:lvl>
  </w:abstractNum>
  <w:abstractNum w:abstractNumId="12">
    <w:nsid w:val="59ADCABA"/>
    <w:multiLevelType w:val="multilevel"/>
    <w:tmpl w:val="59ADCABA"/>
    <w:lvl w:ilvl="0" w:tentative="0">
      <w:start w:val="1"/>
      <w:numFmt w:val="decimal"/>
      <w:lvlText w:val="%1."/>
      <w:lvlJc w:val="left"/>
      <w:pPr>
        <w:ind w:left="521" w:hanging="171"/>
      </w:pPr>
      <w:rPr>
        <w:rFonts w:hint="default" w:ascii="Verdana" w:hAnsi="Verdana" w:eastAsia="Verdana" w:cs="Verdana"/>
        <w:spacing w:val="-2"/>
        <w:w w:val="98"/>
        <w:sz w:val="15"/>
        <w:szCs w:val="15"/>
        <w:lang w:val="zh-CN" w:eastAsia="zh-CN" w:bidi="zh-CN"/>
      </w:rPr>
    </w:lvl>
    <w:lvl w:ilvl="1" w:tentative="0">
      <w:start w:val="0"/>
      <w:numFmt w:val="bullet"/>
      <w:lvlText w:val="•"/>
      <w:lvlJc w:val="left"/>
      <w:pPr>
        <w:ind w:left="1522" w:hanging="171"/>
      </w:pPr>
      <w:rPr>
        <w:rFonts w:hint="default"/>
        <w:lang w:val="zh-CN" w:eastAsia="zh-CN" w:bidi="zh-CN"/>
      </w:rPr>
    </w:lvl>
    <w:lvl w:ilvl="2" w:tentative="0">
      <w:start w:val="0"/>
      <w:numFmt w:val="bullet"/>
      <w:lvlText w:val="•"/>
      <w:lvlJc w:val="left"/>
      <w:pPr>
        <w:ind w:left="2524" w:hanging="171"/>
      </w:pPr>
      <w:rPr>
        <w:rFonts w:hint="default"/>
        <w:lang w:val="zh-CN" w:eastAsia="zh-CN" w:bidi="zh-CN"/>
      </w:rPr>
    </w:lvl>
    <w:lvl w:ilvl="3" w:tentative="0">
      <w:start w:val="0"/>
      <w:numFmt w:val="bullet"/>
      <w:lvlText w:val="•"/>
      <w:lvlJc w:val="left"/>
      <w:pPr>
        <w:ind w:left="3526" w:hanging="171"/>
      </w:pPr>
      <w:rPr>
        <w:rFonts w:hint="default"/>
        <w:lang w:val="zh-CN" w:eastAsia="zh-CN" w:bidi="zh-CN"/>
      </w:rPr>
    </w:lvl>
    <w:lvl w:ilvl="4" w:tentative="0">
      <w:start w:val="0"/>
      <w:numFmt w:val="bullet"/>
      <w:lvlText w:val="•"/>
      <w:lvlJc w:val="left"/>
      <w:pPr>
        <w:ind w:left="4528" w:hanging="171"/>
      </w:pPr>
      <w:rPr>
        <w:rFonts w:hint="default"/>
        <w:lang w:val="zh-CN" w:eastAsia="zh-CN" w:bidi="zh-CN"/>
      </w:rPr>
    </w:lvl>
    <w:lvl w:ilvl="5" w:tentative="0">
      <w:start w:val="0"/>
      <w:numFmt w:val="bullet"/>
      <w:lvlText w:val="•"/>
      <w:lvlJc w:val="left"/>
      <w:pPr>
        <w:ind w:left="5530" w:hanging="171"/>
      </w:pPr>
      <w:rPr>
        <w:rFonts w:hint="default"/>
        <w:lang w:val="zh-CN" w:eastAsia="zh-CN" w:bidi="zh-CN"/>
      </w:rPr>
    </w:lvl>
    <w:lvl w:ilvl="6" w:tentative="0">
      <w:start w:val="0"/>
      <w:numFmt w:val="bullet"/>
      <w:lvlText w:val="•"/>
      <w:lvlJc w:val="left"/>
      <w:pPr>
        <w:ind w:left="6532" w:hanging="171"/>
      </w:pPr>
      <w:rPr>
        <w:rFonts w:hint="default"/>
        <w:lang w:val="zh-CN" w:eastAsia="zh-CN" w:bidi="zh-CN"/>
      </w:rPr>
    </w:lvl>
    <w:lvl w:ilvl="7" w:tentative="0">
      <w:start w:val="0"/>
      <w:numFmt w:val="bullet"/>
      <w:lvlText w:val="•"/>
      <w:lvlJc w:val="left"/>
      <w:pPr>
        <w:ind w:left="7534" w:hanging="171"/>
      </w:pPr>
      <w:rPr>
        <w:rFonts w:hint="default"/>
        <w:lang w:val="zh-CN" w:eastAsia="zh-CN" w:bidi="zh-CN"/>
      </w:rPr>
    </w:lvl>
    <w:lvl w:ilvl="8" w:tentative="0">
      <w:start w:val="0"/>
      <w:numFmt w:val="bullet"/>
      <w:lvlText w:val="•"/>
      <w:lvlJc w:val="left"/>
      <w:pPr>
        <w:ind w:left="8536" w:hanging="171"/>
      </w:pPr>
      <w:rPr>
        <w:rFonts w:hint="default"/>
        <w:lang w:val="zh-CN" w:eastAsia="zh-CN" w:bidi="zh-CN"/>
      </w:rPr>
    </w:lvl>
  </w:abstractNum>
  <w:abstractNum w:abstractNumId="13">
    <w:nsid w:val="72183CF9"/>
    <w:multiLevelType w:val="multilevel"/>
    <w:tmpl w:val="72183CF9"/>
    <w:lvl w:ilvl="0" w:tentative="0">
      <w:start w:val="1"/>
      <w:numFmt w:val="decimal"/>
      <w:lvlText w:val="%1."/>
      <w:lvlJc w:val="left"/>
      <w:pPr>
        <w:ind w:left="521" w:hanging="171"/>
      </w:pPr>
      <w:rPr>
        <w:rFonts w:hint="default" w:ascii="Verdana" w:hAnsi="Verdana" w:eastAsia="Verdana" w:cs="Verdana"/>
        <w:spacing w:val="-2"/>
        <w:w w:val="98"/>
        <w:sz w:val="15"/>
        <w:szCs w:val="15"/>
        <w:lang w:val="zh-CN" w:eastAsia="zh-CN" w:bidi="zh-CN"/>
      </w:rPr>
    </w:lvl>
    <w:lvl w:ilvl="1" w:tentative="0">
      <w:start w:val="0"/>
      <w:numFmt w:val="bullet"/>
      <w:lvlText w:val="•"/>
      <w:lvlJc w:val="left"/>
      <w:pPr>
        <w:ind w:left="1522" w:hanging="171"/>
      </w:pPr>
      <w:rPr>
        <w:rFonts w:hint="default"/>
        <w:lang w:val="zh-CN" w:eastAsia="zh-CN" w:bidi="zh-CN"/>
      </w:rPr>
    </w:lvl>
    <w:lvl w:ilvl="2" w:tentative="0">
      <w:start w:val="0"/>
      <w:numFmt w:val="bullet"/>
      <w:lvlText w:val="•"/>
      <w:lvlJc w:val="left"/>
      <w:pPr>
        <w:ind w:left="2524" w:hanging="171"/>
      </w:pPr>
      <w:rPr>
        <w:rFonts w:hint="default"/>
        <w:lang w:val="zh-CN" w:eastAsia="zh-CN" w:bidi="zh-CN"/>
      </w:rPr>
    </w:lvl>
    <w:lvl w:ilvl="3" w:tentative="0">
      <w:start w:val="0"/>
      <w:numFmt w:val="bullet"/>
      <w:lvlText w:val="•"/>
      <w:lvlJc w:val="left"/>
      <w:pPr>
        <w:ind w:left="3526" w:hanging="171"/>
      </w:pPr>
      <w:rPr>
        <w:rFonts w:hint="default"/>
        <w:lang w:val="zh-CN" w:eastAsia="zh-CN" w:bidi="zh-CN"/>
      </w:rPr>
    </w:lvl>
    <w:lvl w:ilvl="4" w:tentative="0">
      <w:start w:val="0"/>
      <w:numFmt w:val="bullet"/>
      <w:lvlText w:val="•"/>
      <w:lvlJc w:val="left"/>
      <w:pPr>
        <w:ind w:left="4528" w:hanging="171"/>
      </w:pPr>
      <w:rPr>
        <w:rFonts w:hint="default"/>
        <w:lang w:val="zh-CN" w:eastAsia="zh-CN" w:bidi="zh-CN"/>
      </w:rPr>
    </w:lvl>
    <w:lvl w:ilvl="5" w:tentative="0">
      <w:start w:val="0"/>
      <w:numFmt w:val="bullet"/>
      <w:lvlText w:val="•"/>
      <w:lvlJc w:val="left"/>
      <w:pPr>
        <w:ind w:left="5530" w:hanging="171"/>
      </w:pPr>
      <w:rPr>
        <w:rFonts w:hint="default"/>
        <w:lang w:val="zh-CN" w:eastAsia="zh-CN" w:bidi="zh-CN"/>
      </w:rPr>
    </w:lvl>
    <w:lvl w:ilvl="6" w:tentative="0">
      <w:start w:val="0"/>
      <w:numFmt w:val="bullet"/>
      <w:lvlText w:val="•"/>
      <w:lvlJc w:val="left"/>
      <w:pPr>
        <w:ind w:left="6532" w:hanging="171"/>
      </w:pPr>
      <w:rPr>
        <w:rFonts w:hint="default"/>
        <w:lang w:val="zh-CN" w:eastAsia="zh-CN" w:bidi="zh-CN"/>
      </w:rPr>
    </w:lvl>
    <w:lvl w:ilvl="7" w:tentative="0">
      <w:start w:val="0"/>
      <w:numFmt w:val="bullet"/>
      <w:lvlText w:val="•"/>
      <w:lvlJc w:val="left"/>
      <w:pPr>
        <w:ind w:left="7534" w:hanging="171"/>
      </w:pPr>
      <w:rPr>
        <w:rFonts w:hint="default"/>
        <w:lang w:val="zh-CN" w:eastAsia="zh-CN" w:bidi="zh-CN"/>
      </w:rPr>
    </w:lvl>
    <w:lvl w:ilvl="8" w:tentative="0">
      <w:start w:val="0"/>
      <w:numFmt w:val="bullet"/>
      <w:lvlText w:val="•"/>
      <w:lvlJc w:val="left"/>
      <w:pPr>
        <w:ind w:left="8536" w:hanging="171"/>
      </w:pPr>
      <w:rPr>
        <w:rFonts w:hint="default"/>
        <w:lang w:val="zh-CN" w:eastAsia="zh-CN" w:bidi="zh-CN"/>
      </w:rPr>
    </w:lvl>
  </w:abstractNum>
  <w:num w:numId="1">
    <w:abstractNumId w:val="8"/>
  </w:num>
  <w:num w:numId="2">
    <w:abstractNumId w:val="9"/>
  </w:num>
  <w:num w:numId="3">
    <w:abstractNumId w:val="7"/>
  </w:num>
  <w:num w:numId="4">
    <w:abstractNumId w:val="4"/>
  </w:num>
  <w:num w:numId="5">
    <w:abstractNumId w:val="3"/>
  </w:num>
  <w:num w:numId="6">
    <w:abstractNumId w:val="12"/>
  </w:num>
  <w:num w:numId="7">
    <w:abstractNumId w:val="2"/>
  </w:num>
  <w:num w:numId="8">
    <w:abstractNumId w:val="1"/>
  </w:num>
  <w:num w:numId="9">
    <w:abstractNumId w:val="6"/>
  </w:num>
  <w:num w:numId="10">
    <w:abstractNumId w:val="10"/>
  </w:num>
  <w:num w:numId="11">
    <w:abstractNumId w:val="13"/>
  </w:num>
  <w:num w:numId="12">
    <w:abstractNumId w:val="5"/>
  </w:num>
  <w:num w:numId="13">
    <w:abstractNumId w:val="0"/>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7"/>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Y5MTM1ODcxZjQ3NGE4ODE2Njg0ODFkZTMzOWI0ZjUifQ=="/>
  </w:docVars>
  <w:rsids>
    <w:rsidRoot w:val="00733DD2"/>
    <w:rsid w:val="00026A1F"/>
    <w:rsid w:val="00061188"/>
    <w:rsid w:val="000A2FEB"/>
    <w:rsid w:val="000A5F9B"/>
    <w:rsid w:val="000B2223"/>
    <w:rsid w:val="00154B8C"/>
    <w:rsid w:val="001E31F7"/>
    <w:rsid w:val="0025720F"/>
    <w:rsid w:val="0027418F"/>
    <w:rsid w:val="002902FC"/>
    <w:rsid w:val="002F0826"/>
    <w:rsid w:val="00326C0F"/>
    <w:rsid w:val="003F3199"/>
    <w:rsid w:val="004131B4"/>
    <w:rsid w:val="00420CA3"/>
    <w:rsid w:val="00421B1A"/>
    <w:rsid w:val="00497393"/>
    <w:rsid w:val="004C713C"/>
    <w:rsid w:val="004E5E1A"/>
    <w:rsid w:val="004E7AFD"/>
    <w:rsid w:val="005147EF"/>
    <w:rsid w:val="005D37B9"/>
    <w:rsid w:val="005E2841"/>
    <w:rsid w:val="00602621"/>
    <w:rsid w:val="00612734"/>
    <w:rsid w:val="00671D4A"/>
    <w:rsid w:val="006A088D"/>
    <w:rsid w:val="00733DD2"/>
    <w:rsid w:val="007F05EF"/>
    <w:rsid w:val="0082310E"/>
    <w:rsid w:val="00855630"/>
    <w:rsid w:val="00863B91"/>
    <w:rsid w:val="008C37D0"/>
    <w:rsid w:val="008E4249"/>
    <w:rsid w:val="0093051F"/>
    <w:rsid w:val="00952609"/>
    <w:rsid w:val="009C1FBF"/>
    <w:rsid w:val="009E136B"/>
    <w:rsid w:val="009E4BCC"/>
    <w:rsid w:val="00A76C33"/>
    <w:rsid w:val="00A808E4"/>
    <w:rsid w:val="00A80B4E"/>
    <w:rsid w:val="00A93480"/>
    <w:rsid w:val="00B4172A"/>
    <w:rsid w:val="00BC00EB"/>
    <w:rsid w:val="00BF3469"/>
    <w:rsid w:val="00C969CF"/>
    <w:rsid w:val="00D06A7D"/>
    <w:rsid w:val="00D4297B"/>
    <w:rsid w:val="00D873FD"/>
    <w:rsid w:val="00D9066A"/>
    <w:rsid w:val="00DD12A9"/>
    <w:rsid w:val="00DE7ADB"/>
    <w:rsid w:val="00E51899"/>
    <w:rsid w:val="00EF7182"/>
    <w:rsid w:val="00F01072"/>
    <w:rsid w:val="00F26748"/>
    <w:rsid w:val="02B15ED7"/>
    <w:rsid w:val="032B7EBE"/>
    <w:rsid w:val="037819C8"/>
    <w:rsid w:val="04165086"/>
    <w:rsid w:val="079468F0"/>
    <w:rsid w:val="0A277157"/>
    <w:rsid w:val="0A323667"/>
    <w:rsid w:val="0B691EBF"/>
    <w:rsid w:val="0D6B27A0"/>
    <w:rsid w:val="0D737863"/>
    <w:rsid w:val="10827943"/>
    <w:rsid w:val="11D15B1C"/>
    <w:rsid w:val="11D56F8A"/>
    <w:rsid w:val="129A029D"/>
    <w:rsid w:val="12C9410A"/>
    <w:rsid w:val="14C02644"/>
    <w:rsid w:val="157B401A"/>
    <w:rsid w:val="165B3C1A"/>
    <w:rsid w:val="17453125"/>
    <w:rsid w:val="184F31D7"/>
    <w:rsid w:val="1A2E6DE6"/>
    <w:rsid w:val="1D4821A9"/>
    <w:rsid w:val="202B56B1"/>
    <w:rsid w:val="22723315"/>
    <w:rsid w:val="22CF7097"/>
    <w:rsid w:val="232E51F6"/>
    <w:rsid w:val="23884864"/>
    <w:rsid w:val="27E45486"/>
    <w:rsid w:val="2B057E38"/>
    <w:rsid w:val="2BA52826"/>
    <w:rsid w:val="2D7F5632"/>
    <w:rsid w:val="2EB05F76"/>
    <w:rsid w:val="2FBD42B3"/>
    <w:rsid w:val="30D412A1"/>
    <w:rsid w:val="30E84F1F"/>
    <w:rsid w:val="31502938"/>
    <w:rsid w:val="316641F0"/>
    <w:rsid w:val="31F8416E"/>
    <w:rsid w:val="32CE7A3F"/>
    <w:rsid w:val="33951D5C"/>
    <w:rsid w:val="34117E05"/>
    <w:rsid w:val="351B0D6F"/>
    <w:rsid w:val="35633FD8"/>
    <w:rsid w:val="37C66C9B"/>
    <w:rsid w:val="3BB420F5"/>
    <w:rsid w:val="3DB75172"/>
    <w:rsid w:val="3F1B3C4A"/>
    <w:rsid w:val="402E62DF"/>
    <w:rsid w:val="402F4957"/>
    <w:rsid w:val="405108FA"/>
    <w:rsid w:val="4136403A"/>
    <w:rsid w:val="41EF774F"/>
    <w:rsid w:val="42660058"/>
    <w:rsid w:val="43824C1A"/>
    <w:rsid w:val="449C5243"/>
    <w:rsid w:val="449E2D2B"/>
    <w:rsid w:val="46094A05"/>
    <w:rsid w:val="460A3EB2"/>
    <w:rsid w:val="473E1081"/>
    <w:rsid w:val="477517FF"/>
    <w:rsid w:val="479F5F87"/>
    <w:rsid w:val="497E50E4"/>
    <w:rsid w:val="49CC2349"/>
    <w:rsid w:val="4A254910"/>
    <w:rsid w:val="4B956476"/>
    <w:rsid w:val="4D3D3121"/>
    <w:rsid w:val="4DCB17F7"/>
    <w:rsid w:val="53423D16"/>
    <w:rsid w:val="534B0A6F"/>
    <w:rsid w:val="539D45B7"/>
    <w:rsid w:val="53CA557A"/>
    <w:rsid w:val="545A32FC"/>
    <w:rsid w:val="547D6E0D"/>
    <w:rsid w:val="584110E8"/>
    <w:rsid w:val="587C329C"/>
    <w:rsid w:val="595B205E"/>
    <w:rsid w:val="5A4777C5"/>
    <w:rsid w:val="5A6E001E"/>
    <w:rsid w:val="5DEC7787"/>
    <w:rsid w:val="5DFE7766"/>
    <w:rsid w:val="60F93F09"/>
    <w:rsid w:val="683E0693"/>
    <w:rsid w:val="685E7C65"/>
    <w:rsid w:val="68AB5C34"/>
    <w:rsid w:val="698F00A6"/>
    <w:rsid w:val="6A800692"/>
    <w:rsid w:val="6BF3478F"/>
    <w:rsid w:val="6DE10695"/>
    <w:rsid w:val="6E6658CD"/>
    <w:rsid w:val="6F1A55B9"/>
    <w:rsid w:val="711B411C"/>
    <w:rsid w:val="7392213F"/>
    <w:rsid w:val="739F5CC0"/>
    <w:rsid w:val="748F3673"/>
    <w:rsid w:val="772F4719"/>
    <w:rsid w:val="773504DF"/>
    <w:rsid w:val="78667688"/>
    <w:rsid w:val="7A192AA7"/>
    <w:rsid w:val="7B395E66"/>
    <w:rsid w:val="7C4831AB"/>
    <w:rsid w:val="7E4702F4"/>
    <w:rsid w:val="7FDA25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1"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2"/>
    <w:basedOn w:val="1"/>
    <w:next w:val="1"/>
    <w:qFormat/>
    <w:uiPriority w:val="1"/>
    <w:pPr>
      <w:autoSpaceDE w:val="0"/>
      <w:autoSpaceDN w:val="0"/>
      <w:spacing w:before="106"/>
      <w:ind w:left="105"/>
      <w:jc w:val="left"/>
      <w:outlineLvl w:val="1"/>
    </w:pPr>
    <w:rPr>
      <w:rFonts w:ascii="宋体" w:hAnsi="宋体" w:eastAsia="宋体" w:cs="宋体"/>
      <w:b/>
      <w:bCs/>
      <w:kern w:val="0"/>
      <w:sz w:val="17"/>
      <w:szCs w:val="17"/>
      <w:lang w:val="zh-CN" w:bidi="zh-CN"/>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qFormat/>
    <w:uiPriority w:val="0"/>
    <w:pPr>
      <w:spacing w:line="360" w:lineRule="auto"/>
      <w:ind w:firstLine="200" w:firstLineChars="200"/>
    </w:pPr>
    <w:rPr>
      <w:rFonts w:ascii="仿宋_GB2312" w:hAnsi="Times New Roman" w:eastAsia="仿宋_GB2312"/>
      <w:sz w:val="30"/>
      <w:szCs w:val="30"/>
    </w:rPr>
  </w:style>
  <w:style w:type="paragraph" w:styleId="3">
    <w:name w:val="Body Text"/>
    <w:basedOn w:val="1"/>
    <w:qFormat/>
    <w:uiPriority w:val="1"/>
    <w:pPr>
      <w:autoSpaceDE w:val="0"/>
      <w:autoSpaceDN w:val="0"/>
      <w:jc w:val="left"/>
    </w:pPr>
    <w:rPr>
      <w:rFonts w:ascii="宋体" w:hAnsi="宋体" w:eastAsia="宋体" w:cs="宋体"/>
      <w:kern w:val="0"/>
      <w:sz w:val="17"/>
      <w:szCs w:val="17"/>
      <w:lang w:val="zh-CN" w:bidi="zh-CN"/>
    </w:rPr>
  </w:style>
  <w:style w:type="paragraph" w:styleId="5">
    <w:name w:val="Plain Text"/>
    <w:basedOn w:val="1"/>
    <w:qFormat/>
    <w:uiPriority w:val="0"/>
    <w:rPr>
      <w:rFonts w:ascii="宋体" w:hAnsi="Courier New" w:cs="Courier New"/>
      <w:szCs w:val="21"/>
    </w:rPr>
  </w:style>
  <w:style w:type="paragraph" w:styleId="6">
    <w:name w:val="footer"/>
    <w:basedOn w:val="1"/>
    <w:link w:val="16"/>
    <w:unhideWhenUsed/>
    <w:qFormat/>
    <w:uiPriority w:val="99"/>
    <w:pPr>
      <w:tabs>
        <w:tab w:val="center" w:pos="4153"/>
        <w:tab w:val="right" w:pos="8306"/>
      </w:tabs>
      <w:snapToGrid w:val="0"/>
      <w:jc w:val="left"/>
    </w:pPr>
    <w:rPr>
      <w:sz w:val="18"/>
      <w:szCs w:val="18"/>
    </w:rPr>
  </w:style>
  <w:style w:type="paragraph" w:styleId="7">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9">
    <w:name w:val="Title"/>
    <w:basedOn w:val="1"/>
    <w:next w:val="1"/>
    <w:qFormat/>
    <w:uiPriority w:val="10"/>
    <w:pPr>
      <w:spacing w:before="240" w:after="60"/>
      <w:jc w:val="center"/>
      <w:outlineLvl w:val="0"/>
    </w:pPr>
    <w:rPr>
      <w:rFonts w:eastAsia="宋体" w:asciiTheme="majorHAnsi" w:hAnsiTheme="majorHAnsi" w:cstheme="majorBidi"/>
      <w:b/>
      <w:bCs/>
      <w:sz w:val="32"/>
      <w:szCs w:val="32"/>
    </w:rPr>
  </w:style>
  <w:style w:type="table" w:styleId="11">
    <w:name w:val="Table Grid"/>
    <w:basedOn w:val="10"/>
    <w:qFormat/>
    <w:uiPriority w:val="59"/>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3">
    <w:name w:val="Strong"/>
    <w:basedOn w:val="12"/>
    <w:qFormat/>
    <w:uiPriority w:val="22"/>
    <w:rPr>
      <w:b/>
    </w:rPr>
  </w:style>
  <w:style w:type="character" w:styleId="14">
    <w:name w:val="Emphasis"/>
    <w:qFormat/>
    <w:uiPriority w:val="20"/>
    <w:rPr>
      <w:i/>
      <w:iCs/>
    </w:rPr>
  </w:style>
  <w:style w:type="character" w:customStyle="1" w:styleId="15">
    <w:name w:val="页眉 Char"/>
    <w:basedOn w:val="12"/>
    <w:link w:val="7"/>
    <w:qFormat/>
    <w:uiPriority w:val="99"/>
    <w:rPr>
      <w:sz w:val="18"/>
      <w:szCs w:val="18"/>
    </w:rPr>
  </w:style>
  <w:style w:type="character" w:customStyle="1" w:styleId="16">
    <w:name w:val="页脚 Char"/>
    <w:basedOn w:val="12"/>
    <w:link w:val="6"/>
    <w:qFormat/>
    <w:uiPriority w:val="99"/>
    <w:rPr>
      <w:sz w:val="18"/>
      <w:szCs w:val="18"/>
    </w:rPr>
  </w:style>
  <w:style w:type="paragraph" w:customStyle="1" w:styleId="17">
    <w:name w:val="Table Paragraph"/>
    <w:basedOn w:val="1"/>
    <w:qFormat/>
    <w:uiPriority w:val="1"/>
    <w:pPr>
      <w:autoSpaceDE w:val="0"/>
      <w:autoSpaceDN w:val="0"/>
      <w:jc w:val="left"/>
    </w:pPr>
    <w:rPr>
      <w:rFonts w:ascii="宋体" w:hAnsi="宋体" w:eastAsia="宋体" w:cs="宋体"/>
      <w:kern w:val="0"/>
      <w:sz w:val="22"/>
      <w:lang w:val="zh-CN" w:bidi="zh-CN"/>
    </w:rPr>
  </w:style>
  <w:style w:type="paragraph" w:styleId="18">
    <w:name w:val="List Paragraph"/>
    <w:basedOn w:val="1"/>
    <w:qFormat/>
    <w:uiPriority w:val="1"/>
    <w:pPr>
      <w:autoSpaceDE w:val="0"/>
      <w:autoSpaceDN w:val="0"/>
      <w:spacing w:before="21"/>
      <w:ind w:left="521" w:hanging="170"/>
      <w:jc w:val="left"/>
    </w:pPr>
    <w:rPr>
      <w:rFonts w:ascii="宋体" w:hAnsi="宋体" w:eastAsia="宋体" w:cs="宋体"/>
      <w:kern w:val="0"/>
      <w:sz w:val="22"/>
      <w:lang w:val="zh-CN" w:bidi="zh-CN"/>
    </w:rPr>
  </w:style>
  <w:style w:type="character" w:customStyle="1" w:styleId="19">
    <w:name w:val="NormalCharacter"/>
    <w:semiHidden/>
    <w:qFormat/>
    <w:uiPriority w:val="0"/>
  </w:style>
  <w:style w:type="character" w:customStyle="1" w:styleId="20">
    <w:name w:val="font31"/>
    <w:basedOn w:val="12"/>
    <w:qFormat/>
    <w:uiPriority w:val="0"/>
    <w:rPr>
      <w:rFonts w:hint="eastAsia" w:ascii="宋体" w:hAnsi="宋体" w:eastAsia="宋体" w:cs="宋体"/>
      <w:color w:val="000000"/>
      <w:sz w:val="24"/>
      <w:szCs w:val="24"/>
      <w:u w:val="none"/>
    </w:rPr>
  </w:style>
  <w:style w:type="character" w:customStyle="1" w:styleId="21">
    <w:name w:val="font11"/>
    <w:basedOn w:val="12"/>
    <w:qFormat/>
    <w:uiPriority w:val="0"/>
    <w:rPr>
      <w:rFonts w:hint="eastAsia" w:ascii="宋体" w:hAnsi="宋体" w:eastAsia="宋体" w:cs="宋体"/>
      <w:color w:val="000000"/>
      <w:sz w:val="24"/>
      <w:szCs w:val="24"/>
      <w:u w:val="none"/>
    </w:rPr>
  </w:style>
  <w:style w:type="character" w:customStyle="1" w:styleId="22">
    <w:name w:val="font41"/>
    <w:basedOn w:val="12"/>
    <w:qFormat/>
    <w:uiPriority w:val="0"/>
    <w:rPr>
      <w:rFonts w:hint="eastAsia" w:ascii="宋体" w:hAnsi="宋体" w:eastAsia="宋体" w:cs="宋体"/>
      <w:b/>
      <w:bCs/>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WZSZYY.CN</Company>
  <Pages>10</Pages>
  <Words>6775</Words>
  <Characters>7040</Characters>
  <Lines>6</Lines>
  <Paragraphs>1</Paragraphs>
  <TotalTime>0</TotalTime>
  <ScaleCrop>false</ScaleCrop>
  <LinksUpToDate>false</LinksUpToDate>
  <CharactersWithSpaces>7542</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2020-04-25T02:43:00Z</dcterms:created>
  <dc:creator>test</dc:creator>
  <cp:lastModifiedBy>李恩贤</cp:lastModifiedBy>
  <dcterms:modified xsi:type="dcterms:W3CDTF">2022-05-03T03:02:30Z</dcterms:modified>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ondata">
    <vt:lpwstr>eyJoZGlkIjoiMjRiMzIwNTY3MTczYzNiN2UxOGJmYzAxNjg5MjZiNzQifQ==</vt:lpwstr>
  </property>
  <property fmtid="{D5CDD505-2E9C-101B-9397-08002B2CF9AE}" pid="3" name="KSOProductBuildVer">
    <vt:lpwstr>2052-11.1.0.11636</vt:lpwstr>
  </property>
  <property fmtid="{D5CDD505-2E9C-101B-9397-08002B2CF9AE}" pid="4" name="ICV">
    <vt:lpwstr>99012001CC8449E1B44B4987A03F7E88</vt:lpwstr>
  </property>
</Properties>
</file>