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1"/>
          <w:rFonts w:hint="eastAsia" w:asciiTheme="minorEastAsia" w:hAnsiTheme="minorEastAsia" w:eastAsiaTheme="minorEastAsia" w:cstheme="minorEastAsia"/>
          <w:b/>
          <w:bCs/>
          <w:sz w:val="32"/>
          <w:szCs w:val="32"/>
          <w:lang w:val="en-US" w:eastAsia="zh-CN"/>
        </w:rPr>
      </w:pPr>
      <w:r>
        <w:rPr>
          <w:rStyle w:val="11"/>
          <w:rFonts w:hint="eastAsia" w:asciiTheme="minorEastAsia" w:hAnsiTheme="minorEastAsia" w:eastAsiaTheme="minorEastAsia" w:cstheme="minorEastAsia"/>
          <w:b/>
          <w:bCs/>
          <w:sz w:val="36"/>
          <w:szCs w:val="36"/>
          <w:lang w:val="en-US" w:eastAsia="zh-CN"/>
        </w:rPr>
        <w:t>温州市中医院关于</w:t>
      </w:r>
      <w:r>
        <w:rPr>
          <w:rStyle w:val="11"/>
          <w:rFonts w:hint="eastAsia" w:asciiTheme="minorEastAsia" w:hAnsiTheme="minorEastAsia" w:cstheme="minorEastAsia"/>
          <w:b/>
          <w:bCs/>
          <w:sz w:val="36"/>
          <w:szCs w:val="36"/>
          <w:lang w:val="en-US" w:eastAsia="zh-CN"/>
        </w:rPr>
        <w:t>生物安全柜</w:t>
      </w:r>
      <w:r>
        <w:rPr>
          <w:rStyle w:val="11"/>
          <w:rFonts w:hint="eastAsia" w:asciiTheme="minorEastAsia" w:hAnsiTheme="minorEastAsia" w:eastAsiaTheme="minorEastAsia" w:cstheme="minorEastAsia"/>
          <w:b/>
          <w:bCs/>
          <w:sz w:val="36"/>
          <w:szCs w:val="36"/>
          <w:lang w:val="en-US" w:eastAsia="zh-CN"/>
        </w:rPr>
        <w:t>项目的招标</w:t>
      </w:r>
    </w:p>
    <w:p>
      <w:pPr>
        <w:numPr>
          <w:ilvl w:val="0"/>
          <w:numId w:val="1"/>
        </w:numPr>
        <w:jc w:val="both"/>
        <w:rPr>
          <w:rStyle w:val="11"/>
          <w:rFonts w:hint="eastAsia" w:asciiTheme="minorEastAsia" w:hAnsiTheme="minorEastAsia" w:eastAsiaTheme="minorEastAsia" w:cstheme="minorEastAsia"/>
          <w:b/>
          <w:bCs/>
          <w:sz w:val="32"/>
          <w:szCs w:val="32"/>
        </w:rPr>
      </w:pPr>
      <w:r>
        <w:rPr>
          <w:rStyle w:val="11"/>
          <w:rFonts w:hint="eastAsia" w:asciiTheme="minorEastAsia" w:hAnsiTheme="minorEastAsia" w:eastAsiaTheme="minorEastAsia" w:cstheme="minorEastAsia"/>
          <w:b/>
          <w:bCs/>
          <w:sz w:val="32"/>
          <w:szCs w:val="32"/>
        </w:rPr>
        <w:t>项目基本情况</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5"/>
        <w:gridCol w:w="5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both"/>
              <w:rPr>
                <w:rFonts w:hint="default" w:asciiTheme="minorEastAsia" w:hAnsiTheme="minorEastAsia" w:eastAsiaTheme="minorEastAsia" w:cstheme="minorEastAsia"/>
                <w:b w:val="0"/>
                <w:bCs w:val="0"/>
                <w:sz w:val="24"/>
                <w:szCs w:val="24"/>
                <w:vertAlign w:val="baseline"/>
                <w:lang w:val="en-US"/>
              </w:rPr>
            </w:pPr>
            <w:r>
              <w:rPr>
                <w:rFonts w:hint="eastAsia" w:asciiTheme="minorEastAsia" w:hAnsiTheme="minorEastAsia" w:eastAsiaTheme="minorEastAsia" w:cstheme="minorEastAsia"/>
                <w:b w:val="0"/>
                <w:bCs w:val="0"/>
                <w:sz w:val="24"/>
                <w:szCs w:val="24"/>
              </w:rPr>
              <w:t>项目编号：</w:t>
            </w:r>
            <w:r>
              <w:rPr>
                <w:rFonts w:hint="eastAsia" w:asciiTheme="minorEastAsia" w:hAnsiTheme="minorEastAsia" w:eastAsiaTheme="minorEastAsia" w:cstheme="minorEastAsia"/>
                <w:sz w:val="24"/>
                <w:szCs w:val="24"/>
                <w:vertAlign w:val="baseline"/>
                <w:lang w:val="en-US" w:eastAsia="zh-CN"/>
              </w:rPr>
              <w:t>2022-sb-cg-00</w:t>
            </w:r>
            <w:r>
              <w:rPr>
                <w:rFonts w:hint="eastAsia" w:asciiTheme="minorEastAsia" w:hAnsiTheme="minorEastAsia" w:cstheme="minorEastAsia"/>
                <w:sz w:val="24"/>
                <w:szCs w:val="24"/>
                <w:vertAlign w:val="baseline"/>
                <w:lang w:val="en-US" w:eastAsia="zh-CN"/>
              </w:rPr>
              <w:t>6</w:t>
            </w:r>
          </w:p>
        </w:tc>
        <w:tc>
          <w:tcPr>
            <w:tcW w:w="5183" w:type="dxa"/>
          </w:tcPr>
          <w:p>
            <w:pPr>
              <w:jc w:val="left"/>
              <w:rPr>
                <w:rFonts w:hint="eastAsia" w:asciiTheme="minorEastAsia" w:hAnsiTheme="minorEastAsia" w:eastAsiaTheme="minorEastAsia" w:cstheme="minorEastAsia"/>
                <w:b w:val="0"/>
                <w:bCs w:val="0"/>
                <w:sz w:val="24"/>
                <w:szCs w:val="24"/>
                <w:vertAlign w:val="baseline"/>
                <w:lang w:eastAsia="zh-CN"/>
              </w:rPr>
            </w:pPr>
            <w:r>
              <w:rPr>
                <w:rFonts w:hint="eastAsia" w:asciiTheme="minorEastAsia" w:hAnsiTheme="minorEastAsia" w:eastAsiaTheme="minorEastAsia" w:cstheme="minorEastAsia"/>
                <w:b w:val="0"/>
                <w:bCs w:val="0"/>
                <w:sz w:val="24"/>
                <w:szCs w:val="24"/>
              </w:rPr>
              <w:t>项目名称：</w:t>
            </w:r>
            <w:r>
              <w:rPr>
                <w:rFonts w:hint="eastAsia" w:asciiTheme="minorEastAsia" w:hAnsiTheme="minorEastAsia" w:eastAsiaTheme="minorEastAsia" w:cstheme="minorEastAsia"/>
                <w:b w:val="0"/>
                <w:bCs w:val="0"/>
                <w:sz w:val="24"/>
                <w:szCs w:val="24"/>
                <w:lang w:eastAsia="zh-CN"/>
              </w:rPr>
              <w:t>医用冷藏箱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both"/>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数量：1台</w:t>
            </w:r>
          </w:p>
        </w:tc>
        <w:tc>
          <w:tcPr>
            <w:tcW w:w="5183" w:type="dxa"/>
          </w:tcPr>
          <w:p>
            <w:p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cstheme="minorEastAsia"/>
                <w:b w:val="0"/>
                <w:bCs w:val="0"/>
                <w:sz w:val="24"/>
                <w:szCs w:val="24"/>
                <w:lang w:val="en-US" w:eastAsia="zh-CN"/>
              </w:rPr>
              <w:t>单价</w:t>
            </w:r>
            <w:r>
              <w:rPr>
                <w:rFonts w:hint="eastAsia" w:asciiTheme="minorEastAsia" w:hAnsiTheme="minorEastAsia" w:eastAsiaTheme="minorEastAsia" w:cstheme="minorEastAsia"/>
                <w:b w:val="0"/>
                <w:bCs w:val="0"/>
                <w:sz w:val="24"/>
                <w:szCs w:val="24"/>
              </w:rPr>
              <w:t>（元）:</w:t>
            </w:r>
            <w:r>
              <w:rPr>
                <w:rFonts w:hint="eastAsia" w:asciiTheme="minorEastAsia" w:hAnsiTheme="minorEastAsia" w:cstheme="minorEastAsia"/>
                <w:b w:val="0"/>
                <w:bCs w:val="0"/>
                <w:sz w:val="24"/>
                <w:szCs w:val="24"/>
                <w:lang w:val="en-US" w:eastAsia="zh-CN"/>
              </w:rPr>
              <w:t>3万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cstheme="minorEastAsia"/>
                <w:b w:val="0"/>
                <w:bCs w:val="0"/>
                <w:sz w:val="24"/>
                <w:szCs w:val="24"/>
                <w:lang w:val="en-US" w:eastAsia="zh-CN"/>
              </w:rPr>
              <w:t>总</w:t>
            </w:r>
            <w:r>
              <w:rPr>
                <w:rFonts w:hint="eastAsia" w:asciiTheme="minorEastAsia" w:hAnsiTheme="minorEastAsia" w:eastAsiaTheme="minorEastAsia" w:cstheme="minorEastAsia"/>
                <w:b w:val="0"/>
                <w:bCs w:val="0"/>
                <w:sz w:val="24"/>
                <w:szCs w:val="24"/>
              </w:rPr>
              <w:t>金额（元）:</w:t>
            </w:r>
            <w:r>
              <w:rPr>
                <w:rFonts w:hint="eastAsia" w:asciiTheme="minorEastAsia" w:hAnsiTheme="minorEastAsia" w:cstheme="minorEastAsia"/>
                <w:b w:val="0"/>
                <w:bCs w:val="0"/>
                <w:sz w:val="24"/>
                <w:szCs w:val="24"/>
                <w:lang w:val="en-US" w:eastAsia="zh-CN"/>
              </w:rPr>
              <w:t>3万</w:t>
            </w:r>
          </w:p>
        </w:tc>
        <w:tc>
          <w:tcPr>
            <w:tcW w:w="5183" w:type="dxa"/>
          </w:tcPr>
          <w:p>
            <w:pPr>
              <w:jc w:val="both"/>
              <w:rPr>
                <w:rFonts w:hint="eastAsia" w:asciiTheme="minorEastAsia" w:hAnsiTheme="minorEastAsia" w:eastAsiaTheme="minorEastAsia" w:cstheme="minorEastAsia"/>
                <w:b w:val="0"/>
                <w:bCs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eastAsia" w:asciiTheme="minorEastAsia" w:hAnsiTheme="minorEastAsia" w:eastAsiaTheme="minorEastAsia" w:cstheme="minorEastAsia"/>
                <w:b w:val="0"/>
                <w:bCs w:val="0"/>
                <w:sz w:val="24"/>
                <w:szCs w:val="24"/>
                <w:vertAlign w:val="baseline"/>
              </w:rPr>
            </w:pPr>
            <w:r>
              <w:rPr>
                <w:rFonts w:hint="eastAsia" w:asciiTheme="minorEastAsia" w:hAnsiTheme="minorEastAsia" w:eastAsiaTheme="minorEastAsia" w:cstheme="minorEastAsia"/>
                <w:sz w:val="24"/>
                <w:szCs w:val="24"/>
              </w:rPr>
              <w:t>简要规格描述或项目基本概况介绍、用途：</w:t>
            </w:r>
            <w:r>
              <w:rPr>
                <w:rFonts w:hint="eastAsia" w:ascii="宋体" w:hAnsi="宋体" w:eastAsia="宋体" w:cs="宋体"/>
                <w:i w:val="0"/>
                <w:iCs w:val="0"/>
                <w:color w:val="000000"/>
                <w:kern w:val="0"/>
                <w:sz w:val="24"/>
                <w:szCs w:val="24"/>
                <w:highlight w:val="none"/>
                <w:u w:val="none"/>
                <w:lang w:val="en-US" w:eastAsia="zh-CN" w:bidi="ar"/>
              </w:rPr>
              <w:t>预防实验室操作过程中产生可能感染性气溶胶和溅出物，保护操作者及样品安全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sz w:val="24"/>
                <w:szCs w:val="24"/>
              </w:rPr>
              <w:t>备注：</w:t>
            </w:r>
            <w:r>
              <w:rPr>
                <w:rFonts w:hint="eastAsia" w:asciiTheme="minorEastAsia" w:hAnsiTheme="minorEastAsia" w:eastAsiaTheme="minorEastAsia" w:cstheme="minorEastAsia"/>
                <w:color w:val="auto"/>
                <w:sz w:val="24"/>
                <w:szCs w:val="24"/>
                <w:lang w:val="en-US" w:eastAsia="zh-CN"/>
              </w:rPr>
              <w:t>国产</w:t>
            </w:r>
          </w:p>
        </w:tc>
      </w:tr>
    </w:tbl>
    <w:p>
      <w:pPr>
        <w:jc w:val="both"/>
        <w:rPr>
          <w:rFonts w:hint="eastAsia" w:asciiTheme="minorEastAsia" w:hAnsiTheme="minorEastAsia" w:eastAsiaTheme="minorEastAsia" w:cstheme="minorEastAsia"/>
          <w:b w:val="0"/>
          <w:bCs w:val="0"/>
          <w:sz w:val="24"/>
          <w:szCs w:val="24"/>
        </w:rPr>
      </w:pPr>
    </w:p>
    <w:p>
      <w:pPr>
        <w:numPr>
          <w:ilvl w:val="0"/>
          <w:numId w:val="1"/>
        </w:numPr>
        <w:jc w:val="both"/>
        <w:rPr>
          <w:rStyle w:val="11"/>
          <w:rFonts w:hint="eastAsia" w:asciiTheme="minorEastAsia" w:hAnsiTheme="minorEastAsia" w:eastAsiaTheme="minorEastAsia" w:cstheme="minorEastAsia"/>
          <w:b/>
          <w:bCs/>
          <w:sz w:val="32"/>
          <w:szCs w:val="32"/>
          <w:lang w:val="en-US" w:eastAsia="zh-CN"/>
        </w:rPr>
      </w:pPr>
      <w:r>
        <w:rPr>
          <w:rStyle w:val="11"/>
          <w:rFonts w:hint="eastAsia" w:asciiTheme="minorEastAsia" w:hAnsiTheme="minorEastAsia" w:eastAsiaTheme="minorEastAsia" w:cstheme="minorEastAsia"/>
          <w:b/>
          <w:bCs/>
          <w:sz w:val="32"/>
          <w:szCs w:val="32"/>
          <w:lang w:val="en-US" w:eastAsia="zh-CN"/>
        </w:rPr>
        <w:t>采购方式和定标原则</w:t>
      </w:r>
    </w:p>
    <w:p>
      <w:pPr>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本项目我院采取院内组织公开招标的方式，以综合评分最高者中标的原则确定中标供应商。</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获取招标文件</w:t>
      </w:r>
    </w:p>
    <w:p>
      <w:pPr>
        <w:pStyle w:val="6"/>
        <w:keepNext w:val="0"/>
        <w:keepLines w:val="0"/>
        <w:widowControl/>
        <w:suppressLineNumbers w:val="0"/>
        <w:spacing w:line="300" w:lineRule="atLeast"/>
        <w:rPr>
          <w:rFonts w:hint="eastAsia" w:asciiTheme="minorEastAsia" w:hAnsiTheme="minorEastAsia" w:eastAsiaTheme="minorEastAsia" w:cstheme="minorEastAsia"/>
          <w:kern w:val="2"/>
          <w:sz w:val="24"/>
          <w:szCs w:val="24"/>
          <w:highlight w:val="yellow"/>
          <w:lang w:val="en-US" w:eastAsia="zh-CN" w:bidi="ar-SA"/>
        </w:rPr>
      </w:pPr>
      <w:r>
        <w:rPr>
          <w:rFonts w:hint="eastAsia" w:asciiTheme="minorEastAsia" w:hAnsiTheme="minorEastAsia" w:eastAsiaTheme="minorEastAsia" w:cstheme="minorEastAsia"/>
          <w:kern w:val="2"/>
          <w:sz w:val="24"/>
          <w:szCs w:val="24"/>
          <w:lang w:val="en-US" w:eastAsia="zh-CN" w:bidi="ar-SA"/>
        </w:rPr>
        <w:t>地点（网址）</w:t>
      </w:r>
      <w:r>
        <w:rPr>
          <w:rFonts w:hint="eastAsia" w:asciiTheme="minorEastAsia" w:hAnsiTheme="minorEastAsia" w:eastAsiaTheme="minorEastAsia" w:cstheme="minorEastAsia"/>
          <w:kern w:val="2"/>
          <w:sz w:val="24"/>
          <w:szCs w:val="24"/>
          <w:highlight w:val="none"/>
          <w:lang w:val="en-US" w:eastAsia="zh-CN" w:bidi="ar-SA"/>
        </w:rPr>
        <w:t>：</w:t>
      </w:r>
      <w:r>
        <w:rPr>
          <w:rFonts w:hint="eastAsia" w:asciiTheme="minorEastAsia" w:hAnsiTheme="minorEastAsia" w:eastAsiaTheme="minorEastAsia" w:cstheme="minorEastAsia"/>
          <w:kern w:val="2"/>
          <w:szCs w:val="24"/>
          <w:highlight w:val="none"/>
          <w:lang w:eastAsia="zh-CN"/>
        </w:rPr>
        <w:t>h</w:t>
      </w:r>
      <w:r>
        <w:rPr>
          <w:rFonts w:hint="eastAsia" w:asciiTheme="minorEastAsia" w:hAnsiTheme="minorEastAsia" w:eastAsiaTheme="minorEastAsia" w:cstheme="minorEastAsia"/>
          <w:kern w:val="2"/>
          <w:szCs w:val="24"/>
          <w:lang w:eastAsia="zh-CN"/>
        </w:rPr>
        <w:t>ttp://www.wzszyy.com/</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val="0"/>
          <w:bCs w:val="0"/>
          <w:kern w:val="2"/>
          <w:sz w:val="32"/>
          <w:szCs w:val="32"/>
          <w:lang w:val="en-US" w:eastAsia="zh-CN" w:bidi="ar-SA"/>
        </w:rPr>
      </w:pPr>
      <w:r>
        <w:rPr>
          <w:rStyle w:val="11"/>
          <w:rFonts w:hint="eastAsia" w:asciiTheme="minorEastAsia" w:hAnsiTheme="minorEastAsia" w:eastAsiaTheme="minorEastAsia" w:cstheme="minorEastAsia"/>
          <w:b w:val="0"/>
          <w:bCs w:val="0"/>
          <w:kern w:val="2"/>
          <w:sz w:val="32"/>
          <w:szCs w:val="32"/>
          <w:lang w:val="en-US" w:eastAsia="zh-CN" w:bidi="ar-SA"/>
        </w:rPr>
        <w:t>提交投标文件截止时间、开标时间和地点</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w:t>
      </w:r>
      <w:r>
        <w:rPr>
          <w:rFonts w:hint="eastAsia" w:asciiTheme="minorEastAsia" w:hAnsiTheme="minorEastAsia" w:eastAsiaTheme="minorEastAsia" w:cstheme="minorEastAsia"/>
          <w:kern w:val="2"/>
          <w:sz w:val="24"/>
          <w:szCs w:val="24"/>
          <w:lang w:val="en-US" w:eastAsia="zh-CN" w:bidi="ar-SA"/>
        </w:rPr>
        <w:t>提交投标文件截止时间：2022年5月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日下午14：00（北京时间）</w:t>
      </w:r>
      <w:r>
        <w:rPr>
          <w:rFonts w:hint="eastAsia" w:asciiTheme="minorEastAsia" w:hAnsiTheme="minorEastAsia" w:eastAsiaTheme="minorEastAsia" w:cstheme="minorEastAsia"/>
          <w:kern w:val="2"/>
          <w:sz w:val="24"/>
          <w:szCs w:val="24"/>
          <w:lang w:val="en-US" w:eastAsia="zh-CN" w:bidi="ar-SA"/>
        </w:rPr>
        <w:br w:type="textWrapping"/>
      </w:r>
      <w:r>
        <w:rPr>
          <w:rFonts w:hint="eastAsia" w:asciiTheme="minorEastAsia" w:hAnsiTheme="minorEastAsia" w:cstheme="minorEastAsia"/>
          <w:kern w:val="2"/>
          <w:sz w:val="24"/>
          <w:szCs w:val="24"/>
          <w:lang w:val="en-US" w:eastAsia="zh-CN" w:bidi="ar-SA"/>
        </w:rPr>
        <w:t>2、</w:t>
      </w:r>
      <w:r>
        <w:rPr>
          <w:rFonts w:hint="eastAsia" w:asciiTheme="minorEastAsia" w:hAnsiTheme="minorEastAsia" w:eastAsiaTheme="minorEastAsia" w:cstheme="minorEastAsia"/>
          <w:kern w:val="2"/>
          <w:sz w:val="24"/>
          <w:szCs w:val="24"/>
          <w:lang w:val="en-US" w:eastAsia="zh-CN" w:bidi="ar-SA"/>
        </w:rPr>
        <w:t>开标时间：2022年5月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日下午14：10（北京时间）</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3、</w:t>
      </w:r>
      <w:r>
        <w:rPr>
          <w:rFonts w:hint="eastAsia" w:asciiTheme="minorEastAsia" w:hAnsiTheme="minorEastAsia" w:eastAsiaTheme="minorEastAsia" w:cstheme="minorEastAsia"/>
          <w:kern w:val="2"/>
          <w:sz w:val="24"/>
          <w:szCs w:val="24"/>
          <w:lang w:val="en-US" w:eastAsia="zh-CN" w:bidi="ar-SA"/>
        </w:rPr>
        <w:t>开标地点：温州市中医院</w:t>
      </w:r>
      <w:bookmarkStart w:id="0" w:name="_GoBack"/>
      <w:bookmarkEnd w:id="0"/>
      <w:r>
        <w:rPr>
          <w:rFonts w:hint="eastAsia" w:asciiTheme="minorEastAsia" w:hAnsiTheme="minorEastAsia" w:eastAsiaTheme="minorEastAsia" w:cstheme="minorEastAsia"/>
          <w:kern w:val="2"/>
          <w:sz w:val="24"/>
          <w:szCs w:val="24"/>
          <w:lang w:val="en-US" w:eastAsia="zh-CN" w:bidi="ar-SA"/>
        </w:rPr>
        <w:t xml:space="preserve">行政楼3楼309会议室 </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4、</w:t>
      </w:r>
      <w:r>
        <w:rPr>
          <w:rFonts w:hint="eastAsia" w:asciiTheme="minorEastAsia" w:hAnsiTheme="minorEastAsia" w:eastAsiaTheme="minorEastAsia" w:cstheme="minorEastAsia"/>
          <w:kern w:val="2"/>
          <w:sz w:val="24"/>
          <w:szCs w:val="24"/>
          <w:lang w:val="en-US" w:eastAsia="zh-CN" w:bidi="ar-SA"/>
        </w:rPr>
        <w:t>包装要求:投标文件的技术资信标、商务（报价）标分别密封于包封袋中，并在封套的封口处加盖投标人单位章，并由法定代表人或其授权代表签字。</w:t>
      </w:r>
    </w:p>
    <w:p>
      <w:pPr>
        <w:rPr>
          <w:rFonts w:hint="eastAsia" w:asciiTheme="minorEastAsia" w:hAnsi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5、</w:t>
      </w:r>
      <w:r>
        <w:rPr>
          <w:rFonts w:hint="eastAsia" w:asciiTheme="minorEastAsia" w:hAnsiTheme="minorEastAsia" w:eastAsiaTheme="minorEastAsia" w:cstheme="minorEastAsia"/>
          <w:kern w:val="2"/>
          <w:sz w:val="24"/>
          <w:szCs w:val="24"/>
          <w:lang w:val="en-US" w:eastAsia="zh-CN" w:bidi="ar-SA"/>
        </w:rPr>
        <w:t>投标方式：接受邮寄和现场投递的纸质投标文件</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6、</w:t>
      </w:r>
      <w:r>
        <w:rPr>
          <w:rFonts w:hint="eastAsia" w:asciiTheme="minorEastAsia" w:hAnsiTheme="minorEastAsia" w:eastAsiaTheme="minorEastAsia" w:cstheme="minorEastAsia"/>
          <w:kern w:val="2"/>
          <w:sz w:val="24"/>
          <w:szCs w:val="24"/>
          <w:lang w:val="en-US" w:eastAsia="zh-CN" w:bidi="ar-SA"/>
        </w:rPr>
        <w:t>其他:招标文件一式三份，一正两副加盖公章</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公告期限 </w:t>
      </w:r>
    </w:p>
    <w:p>
      <w:pPr>
        <w:pStyle w:val="6"/>
        <w:keepNext w:val="0"/>
        <w:keepLines w:val="0"/>
        <w:widowControl/>
        <w:suppressLineNumbers w:val="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自本公告发布之日起5个工作日。</w:t>
      </w:r>
    </w:p>
    <w:p>
      <w:pPr>
        <w:numPr>
          <w:ilvl w:val="0"/>
          <w:numId w:val="1"/>
        </w:numPr>
        <w:ind w:left="0" w:leftChars="0" w:firstLine="0" w:firstLineChars="0"/>
        <w:jc w:val="both"/>
        <w:rPr>
          <w:rFonts w:hint="eastAsia" w:asciiTheme="minorEastAsia" w:hAnsiTheme="minorEastAsia" w:eastAsiaTheme="minorEastAsia" w:cstheme="minorEastAsia"/>
          <w:b/>
          <w:bCs/>
          <w:sz w:val="28"/>
          <w:szCs w:val="28"/>
        </w:rPr>
      </w:pPr>
      <w:r>
        <w:rPr>
          <w:rStyle w:val="11"/>
          <w:rFonts w:hint="eastAsia" w:asciiTheme="minorEastAsia" w:hAnsiTheme="minorEastAsia" w:eastAsiaTheme="minorEastAsia" w:cstheme="minorEastAsia"/>
          <w:b/>
          <w:bCs/>
          <w:kern w:val="2"/>
          <w:sz w:val="32"/>
          <w:szCs w:val="32"/>
          <w:lang w:val="en-US" w:eastAsia="zh-CN" w:bidi="ar-SA"/>
        </w:rPr>
        <w:t>投标文件编制要求</w:t>
      </w:r>
    </w:p>
    <w:p>
      <w:pPr>
        <w:snapToGrid w:val="0"/>
        <w:spacing w:line="360" w:lineRule="auto"/>
        <w:ind w:firstLine="417" w:firstLineChars="174"/>
        <w:jc w:val="left"/>
        <w:outlineLvl w:val="2"/>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（一）投标文件的组成</w:t>
      </w:r>
    </w:p>
    <w:p>
      <w:pPr>
        <w:snapToGrid w:val="0"/>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投标文件由资格证明文件、商务技术文件和报价文件三部份组成</w:t>
      </w:r>
      <w:r>
        <w:rPr>
          <w:rFonts w:hint="eastAsia" w:asciiTheme="minorEastAsia" w:hAnsiTheme="minorEastAsia" w:eastAsiaTheme="minorEastAsia" w:cstheme="minorEastAsia"/>
          <w:b w:val="0"/>
          <w:bCs/>
          <w:sz w:val="24"/>
          <w:szCs w:val="24"/>
          <w:lang w:eastAsia="zh-CN"/>
        </w:rPr>
        <w:t>。</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1.资格证明文件：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（1）投标人资格承诺函；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（2）法人或者其他组织投标的提供营业执照等证明文件，自然人投标的提供身份证明；</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商务技术文件：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（1）投标人营业执照；</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（2）投标人为医疗器械生产企业的：第二类、第三类医疗器械生产企业提供《医疗器械生产许可证》、第一类医疗器械生产企业提供第一类医疗器械生产备案凭证；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投标人为医疗器械经营企业的：第三类医疗器械经营企业提供《医疗器械经营许可证》、第二类医疗器械经营企业提供第二类医疗器械经营备案凭证；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且投标人经备案或许可的经营范围必须包含本次投标的所有医疗器械；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（3）提供食品药品监督管理部门核发的完整有效的医疗器械注册或备案证明；</w:t>
      </w:r>
    </w:p>
    <w:p>
      <w:pPr>
        <w:snapToGrid w:val="0"/>
        <w:spacing w:line="360" w:lineRule="auto"/>
        <w:ind w:firstLine="470" w:firstLineChars="196"/>
        <w:jc w:val="lef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▲（4）货物制造商或其它有销售资格（提供证明材料）的供应商出具的授权书（适用于投标人是进口货物代理商的情形）；</w:t>
      </w:r>
    </w:p>
    <w:p>
      <w:pPr>
        <w:snapToGrid w:val="0"/>
        <w:spacing w:line="360" w:lineRule="auto"/>
        <w:ind w:firstLine="470" w:firstLineChars="196"/>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kern w:val="0"/>
          <w:sz w:val="24"/>
          <w:szCs w:val="24"/>
        </w:rPr>
        <w:t>（5）投标声明函</w:t>
      </w:r>
      <w:r>
        <w:rPr>
          <w:rFonts w:hint="eastAsia" w:asciiTheme="minorEastAsia" w:hAnsiTheme="minorEastAsia" w:eastAsiaTheme="minorEastAsia" w:cstheme="minorEastAsia"/>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（6）投标产品一览表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（7）技术响应表；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（8）合同条款响应承诺</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（9）设备配置清单；</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（10）消耗品或易耗品价格； </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（11）售后服务承诺书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（12）业绩证明</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（13）投标人建议的安装、调试、验收方法或方案；</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（14）技术服务、技术培训的内容和措施；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（15）项目实施人员一览表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（16）维修能力（详见评分标准要求）；</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（17）投标机型的彩页和原厂技术参数；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节能产品的相关证明材料：投标产品列入财政部、发展改革委发布的节能产品品目清单的，提供国家市场监督管理总局公布的《参与实施政府采购节能产品认证机构名录》内的认证机构出具的、处于有效期之内的节能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19</w:t>
      </w:r>
      <w:r>
        <w:rPr>
          <w:rFonts w:hint="eastAsia" w:asciiTheme="minorEastAsia" w:hAnsiTheme="minorEastAsia" w:eastAsiaTheme="minorEastAsia" w:cstheme="minorEastAsia"/>
          <w:sz w:val="24"/>
          <w:szCs w:val="24"/>
        </w:rPr>
        <w:t>）环境标志产品的相关证明材料：投标产品列入财政部、生态环境部发布的环境标志产品品目清单的，提供国家市场监督管理总局公布的《参与实施政府采购环境标志产品认证机构名录》内的认证机构出具的、处于有效期之内的环境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）评分方法中的评审证明文件等；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）投标人认为需要提供的其他文件。</w:t>
      </w:r>
    </w:p>
    <w:p>
      <w:pPr>
        <w:snapToGrid w:val="0"/>
        <w:spacing w:line="360" w:lineRule="auto"/>
        <w:ind w:firstLine="472" w:firstLineChars="196"/>
        <w:jc w:val="left"/>
        <w:rPr>
          <w:rFonts w:hint="eastAsia" w:asciiTheme="minorEastAsia" w:hAnsiTheme="minorEastAsia" w:eastAsiaTheme="minorEastAsia" w:cstheme="minorEastAsia"/>
          <w:b/>
          <w:sz w:val="24"/>
          <w:szCs w:val="24"/>
        </w:rPr>
      </w:pPr>
    </w:p>
    <w:p>
      <w:pPr>
        <w:snapToGrid w:val="0"/>
        <w:spacing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3.报价文件：</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（1）开标一览表；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（2）投标报价明细表；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（3）投标人针对报价需要说明的其他文件和说明（如有）；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（4）中小企业的相关证明材料（如有</w:t>
      </w:r>
      <w:r>
        <w:rPr>
          <w:rFonts w:hint="eastAsia" w:asciiTheme="minorEastAsia" w:hAnsiTheme="minorEastAsia" w:eastAsiaTheme="minorEastAsia" w:cstheme="minorEastAsia"/>
          <w:kern w:val="0"/>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（5）残疾人福利性单位声明函(如有）；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（6）由省级以上监狱管理局、戒毒管理局（含新疆生产建设兵团）出具的属于监狱企业的证明文件（如有）。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商务、技术参数偏离表</w:t>
      </w:r>
    </w:p>
    <w:tbl>
      <w:tblPr>
        <w:tblStyle w:val="9"/>
        <w:tblpPr w:leftFromText="180" w:rightFromText="180" w:vertAnchor="page" w:horzAnchor="page" w:tblpX="1425" w:tblpY="6613"/>
        <w:tblOverlap w:val="never"/>
        <w:tblW w:w="51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335"/>
        <w:gridCol w:w="1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3856" w:type="pct"/>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b/>
                <w:kern w:val="0"/>
                <w:sz w:val="24"/>
                <w:szCs w:val="24"/>
                <w:lang w:val="en-US" w:eastAsia="zh-CN"/>
              </w:rPr>
              <w:t xml:space="preserve">                 商务、技术参数要求</w:t>
            </w:r>
          </w:p>
        </w:tc>
        <w:tc>
          <w:tcPr>
            <w:tcW w:w="758" w:type="pct"/>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kern w:val="0"/>
                <w:sz w:val="24"/>
                <w:szCs w:val="24"/>
                <w:lang w:val="en-US"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5"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一</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总体要求</w:t>
            </w:r>
          </w:p>
        </w:tc>
        <w:tc>
          <w:tcPr>
            <w:tcW w:w="758" w:type="pct"/>
            <w:vAlign w:val="top"/>
          </w:tcPr>
          <w:p>
            <w:pPr>
              <w:jc w:val="both"/>
              <w:rPr>
                <w:rFonts w:hint="eastAsia" w:asciiTheme="minorEastAsia" w:hAnsiTheme="minorEastAsia" w:eastAsiaTheme="minorEastAsia" w:cstheme="minorEastAsia"/>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385"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1.1</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设备数量：生物安全柜1台</w:t>
            </w:r>
          </w:p>
        </w:tc>
        <w:tc>
          <w:tcPr>
            <w:tcW w:w="758" w:type="pct"/>
            <w:vAlign w:val="top"/>
          </w:tcPr>
          <w:p>
            <w:pPr>
              <w:jc w:val="both"/>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1.2</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highlight w:val="none"/>
                <w:u w:val="none"/>
                <w:lang w:val="en-US" w:eastAsia="zh-CN" w:bidi="ar"/>
              </w:rPr>
              <w:t>设备用途：预防实验室操作过程中产生可能感染性气溶胶和溅出物，保护操作者及样品安全</w:t>
            </w:r>
          </w:p>
        </w:tc>
        <w:tc>
          <w:tcPr>
            <w:tcW w:w="758" w:type="pct"/>
            <w:vAlign w:val="top"/>
          </w:tcPr>
          <w:p>
            <w:pPr>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二</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b/>
                <w:bCs/>
                <w:i w:val="0"/>
                <w:iCs w:val="0"/>
                <w:color w:val="000000"/>
                <w:kern w:val="0"/>
                <w:sz w:val="24"/>
                <w:szCs w:val="24"/>
                <w:u w:val="none"/>
                <w:lang w:val="en-US" w:eastAsia="zh-CN" w:bidi="ar"/>
              </w:rPr>
              <w:t>主要功能要求与技术参数</w:t>
            </w:r>
          </w:p>
        </w:tc>
        <w:tc>
          <w:tcPr>
            <w:tcW w:w="758" w:type="pct"/>
            <w:vAlign w:val="center"/>
          </w:tcPr>
          <w:p>
            <w:pPr>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Ⅱ级A2型生物安全柜，30%气体外排，70%气体循环</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2.2</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单人操作，工作区宽度≥900mm</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2.3</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highlight w:val="none"/>
              </w:rPr>
            </w:pPr>
            <w:r>
              <w:rPr>
                <w:rFonts w:hint="eastAsia" w:ascii="宋体" w:hAnsi="宋体" w:eastAsia="宋体" w:cs="宋体"/>
                <w:i w:val="0"/>
                <w:iCs w:val="0"/>
                <w:color w:val="000000"/>
                <w:kern w:val="0"/>
                <w:sz w:val="24"/>
                <w:szCs w:val="24"/>
                <w:u w:val="none"/>
                <w:lang w:val="en-US" w:eastAsia="zh-CN" w:bidi="ar"/>
              </w:rPr>
              <w:t>前窗10度倾角设计，方便操作</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2.4</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所有污染部位均应处于负压状态或被负压通道和负压通风系统包围</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2.5</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玻璃门上沿有气幕保护，防止工作区内外气体交互</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2.6</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凹盘式工作台，防止液体倾洒后外溢</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2.7</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主过滤器：采用超高效过滤器ULPA，工作区洁净度等级10级（美标FED 209D），CLASS 4（ISO 14644-1）； 过滤器效率：99.9995%@0.12µm</w:t>
            </w:r>
          </w:p>
        </w:tc>
        <w:tc>
          <w:tcPr>
            <w:tcW w:w="758" w:type="pct"/>
            <w:vAlign w:val="top"/>
          </w:tcPr>
          <w:p>
            <w:pPr>
              <w:jc w:val="both"/>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2.8</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前窗玻璃：使用光学透视清晰、清洁和消毒时不对其产生负面影响，抗冲击性强的防紫外线钢化玻璃</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2.9</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底脚不锈钢材质，高度可调，调节螺栓内置，无裸露螺纹，清洁方便，防止微生物滋生；</w:t>
            </w:r>
            <w:r>
              <w:rPr>
                <w:rStyle w:val="19"/>
                <w:lang w:val="en-US" w:eastAsia="zh-CN" w:bidi="ar"/>
              </w:rPr>
              <w:t xml:space="preserve"> 脚轮：万向脚轮</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2.10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柜内插座配置：一个防溅插座（左侧），负载能力</w:t>
            </w:r>
            <w:r>
              <w:rPr>
                <w:rStyle w:val="19"/>
                <w:lang w:val="en-US" w:eastAsia="zh-CN" w:bidi="ar"/>
              </w:rPr>
              <w:t xml:space="preserve"> 220V，10A</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2.11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负压通道专门设计异物过滤装置，防止纸屑等异物通过负压通道进入风机/过滤器影响产品正常运行</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2.12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风机：高性能静音风机，可自动根据过滤器堵塞情况调节转速，保证下降气流恒定</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2.13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风速：下降风速≥0.31m/s；流入风速≥0.55m/s</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2.14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排风量（m3/h）：≥300</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2.15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照度(LX)：</w:t>
            </w:r>
            <w:r>
              <w:rPr>
                <w:rStyle w:val="19"/>
                <w:lang w:val="en-US" w:eastAsia="zh-CN" w:bidi="ar"/>
              </w:rPr>
              <w:t xml:space="preserve"> ≥1132</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2.16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电容容量（VA）：</w:t>
            </w:r>
            <w:r>
              <w:rPr>
                <w:rStyle w:val="19"/>
                <w:lang w:val="en-US" w:eastAsia="zh-CN" w:bidi="ar"/>
              </w:rPr>
              <w:t xml:space="preserve"> ≥1300</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2.17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人员保护：碘化钾法测试，前窗操作口的保护因子≥1×105</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2.18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产品保护：用YY0569标准规定方法测试，在琼脂培养皿上的枯草芽孢杆菌芽孢不超过5CFU</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2.19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交叉污染保护：用YY0569标准规定方法测试，在琼脂培养皿上的枯草芽孢杆菌芽孢不超过2CFU</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2.20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实时数字显示系统运行情况，其中下降气流流速和流入气流流速同时显示</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2.21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前窗玻璃手拉式开启，不得使用电控，以保证断电时能及时关门防护；材质采用</w:t>
            </w:r>
            <w:r>
              <w:rPr>
                <w:rStyle w:val="19"/>
                <w:lang w:val="en-US" w:eastAsia="zh-CN" w:bidi="ar"/>
              </w:rPr>
              <w:t xml:space="preserve"> 6mm防紫外线钢化玻璃。工作区内表面和积液槽采用304不锈钢，工作区最大承重≥35kg</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2.22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打开前窗后，紫外灯应自动关闭，风机、荧光灯自动开始运行；关闭前窗后，风机和荧光灯自动关闭</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2.23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一键式预约紫外灯消毒时间，在班前班后两个时段自动运行</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 xml:space="preserve">2.24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用数字显示过滤器剩余使用寿命，在使用寿命剩余10%时自动提示</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 xml:space="preserve">2.25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可查询紫外灯累计工作时间，以便确定更换时间</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 xml:space="preserve">2.26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有开门高度警示功能，开门超高或过低均有声光报警提示</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 xml:space="preserve">2.27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有监测气流波动功能，气流波动超过20%有声光报警提示</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2.28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有关门监测功能，未关严门有声光报警提示</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2.29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有过滤器监测功能，过滤器堵塞或破损均有声光报警提示</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 xml:space="preserve">2.30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阀门口</w:t>
            </w:r>
            <w:r>
              <w:rPr>
                <w:rStyle w:val="19"/>
                <w:lang w:val="en-US" w:eastAsia="zh-CN" w:bidi="ar"/>
              </w:rPr>
              <w:t xml:space="preserve"> 2个（右侧），可选配实验室专用水嘴龙头</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2.31 </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提供具有国家药监总局颁发的三类医疗器械注册证书</w:t>
            </w:r>
          </w:p>
        </w:tc>
        <w:tc>
          <w:tcPr>
            <w:tcW w:w="758" w:type="pct"/>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三</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安装验收</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3.1</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安装地点：医院指定科室；</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3.2</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安装完成时间：合同签订后1个月内交货，接买方通知后3天内完成安装；</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3.3</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宋体" w:hAnsi="宋体" w:eastAsia="宋体" w:cs="宋体"/>
                <w:i w:val="0"/>
                <w:iCs w:val="0"/>
                <w:color w:val="000000"/>
                <w:kern w:val="0"/>
                <w:sz w:val="24"/>
                <w:szCs w:val="24"/>
                <w:u w:val="none"/>
                <w:lang w:val="en-US" w:eastAsia="zh-CN" w:bidi="ar"/>
              </w:rPr>
              <w:t>安装标准：符合我国国家有关技术规范和技术标准；</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3.4</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b/>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验收标准：符合我国国家有关技术规范和技术标准。</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3.5</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安装、验收合格前所产生的一切费用（包括卸货、搬运、必要时的安全性能检测费等）由供方负责提供。</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四</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售后服务</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4.1</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免费保修：设备验收合格后保修≥3年，期间免一切维修费用；</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b/>
                <w:bCs/>
                <w:i w:val="0"/>
                <w:iCs w:val="0"/>
                <w:color w:val="000000"/>
                <w:kern w:val="0"/>
                <w:sz w:val="24"/>
                <w:szCs w:val="24"/>
                <w:u w:val="none"/>
                <w:lang w:val="en-US" w:eastAsia="zh-CN" w:bidi="ar"/>
              </w:rPr>
              <w:t>五</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其他要求</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5.1</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属于医疗器械管理范围的产品必须提供医疗器械注册证及注册登记表</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sz w:val="24"/>
                <w:szCs w:val="24"/>
                <w:lang w:val="en-US" w:eastAsia="zh-CN"/>
              </w:rPr>
            </w:pPr>
            <w:r>
              <w:rPr>
                <w:rFonts w:hint="eastAsia" w:ascii="宋体" w:hAnsi="宋体" w:eastAsia="宋体" w:cs="宋体"/>
                <w:i w:val="0"/>
                <w:iCs w:val="0"/>
                <w:color w:val="000000"/>
                <w:kern w:val="0"/>
                <w:sz w:val="24"/>
                <w:szCs w:val="24"/>
                <w:u w:val="none"/>
                <w:lang w:val="en-US" w:eastAsia="zh-CN" w:bidi="ar"/>
              </w:rPr>
              <w:t>5.2</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sz w:val="24"/>
                <w:szCs w:val="24"/>
                <w:lang w:val="en-US" w:eastAsia="zh-CN"/>
              </w:rPr>
            </w:pPr>
            <w:r>
              <w:rPr>
                <w:rFonts w:hint="eastAsia" w:ascii="宋体" w:hAnsi="宋体" w:eastAsia="宋体" w:cs="宋体"/>
                <w:i w:val="0"/>
                <w:iCs w:val="0"/>
                <w:color w:val="000000"/>
                <w:kern w:val="0"/>
                <w:sz w:val="24"/>
                <w:szCs w:val="24"/>
                <w:u w:val="none"/>
                <w:lang w:val="en-US" w:eastAsia="zh-CN" w:bidi="ar"/>
              </w:rPr>
              <w:t>厂家承诺提供设备免费保修期（含消耗品、易损品、维修配件、人工服务等）≥ 3年。提供过保后年保价格</w:t>
            </w:r>
          </w:p>
        </w:tc>
        <w:tc>
          <w:tcPr>
            <w:tcW w:w="758" w:type="pct"/>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5.3</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操作手册、维修手册：提供操作手册、维修手册各一套</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5.4</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培训：提供临床应用操作培训,并提供临床资料(培训ppt、考核试题)</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5.5</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软件终身免费升级</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5.6</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付款方式:验收合格后90工作日内付款，投标商开具单张发票限额必须大于投标单台设备价格</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5.7</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投标商提供的设备必须在距投标当日10个月内生产</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4"/>
                <w:szCs w:val="24"/>
                <w:u w:val="none"/>
                <w:lang w:val="en-US" w:eastAsia="zh-CN" w:bidi="ar"/>
              </w:rPr>
              <w:t>5.8</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其它优惠条款</w:t>
            </w:r>
          </w:p>
        </w:tc>
        <w:tc>
          <w:tcPr>
            <w:tcW w:w="758" w:type="pct"/>
            <w:vAlign w:val="top"/>
          </w:tcPr>
          <w:p>
            <w:pPr>
              <w:jc w:val="center"/>
              <w:rPr>
                <w:rFonts w:hint="eastAsia" w:asciiTheme="minorEastAsia" w:hAnsiTheme="minorEastAsia" w:eastAsiaTheme="minorEastAsia" w:cstheme="minorEastAsia"/>
                <w:kern w:val="0"/>
                <w:sz w:val="24"/>
                <w:szCs w:val="24"/>
              </w:rPr>
            </w:pPr>
          </w:p>
        </w:tc>
      </w:tr>
    </w:tbl>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评分细则</w:t>
      </w:r>
    </w:p>
    <w:p>
      <w:pPr>
        <w:spacing w:line="360" w:lineRule="auto"/>
        <w:ind w:firstLine="457" w:firstLineChars="196"/>
        <w:rPr>
          <w:rStyle w:val="11"/>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1、商务技术分（0-65分）</w:t>
      </w:r>
    </w:p>
    <w:tbl>
      <w:tblPr>
        <w:tblStyle w:val="8"/>
        <w:tblW w:w="903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788"/>
        <w:gridCol w:w="2639"/>
        <w:gridCol w:w="997"/>
        <w:gridCol w:w="46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639"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评定项目</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607" w:type="dxa"/>
            <w:noWrap w:val="0"/>
            <w:vAlign w:val="center"/>
          </w:tcPr>
          <w:p>
            <w:pPr>
              <w:ind w:left="105" w:leftChars="50" w:right="10" w:rightChars="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评分细则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对应于招标文件设备技术规格及配置的偏离度</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与招标文件第四部分招标内容及要求的设备技术规格及配置对比，实质性条款除外，标注★的技术指标（或功能）偏离每项扣4分，一般技术指标偏离每项扣1分，一般功能偏离每项扣3分，商务要求偏离每项扣3分。扣完为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投标设备配套的合理性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评委对投标设备配套的合理性、功能实现程度进行评价：投标设备配套合理、功能实现程度高的，得3分；配套较合理、功能实现程度较高的，得2分；配套合理性一般、不能完全达到临床要求功能的，得1分。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投标设备技术指标的先进性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评委对投标设备技术指标的先进性进行评价：技术指标高于招标要求且具有较高临床使用价值的，每项得1分；最高得3分。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投标机型的档次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投标机型在产品系列中属高档产品的，得3分；属中等档次产品的，得2分；属低档产品的，得1分。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运行成本</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包括保修价格、售后服务方案、年运行费用和消耗品或易耗品价格等综合运行成本进行评价。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保修服务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设备保修期超过招标文件要求的，每增加1年加1分，增加部分不足1年的不计分。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投标产品总体质量性能</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投标产品在临床上的使用情况、稳定性、故障率等总体质量性能综合评价。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市场占有率</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提供20</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年1月1日起至今与最终用户签订的投标机型合同复印件，每份有效合同得0.5分，最多5分。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制造商或代理商的售后服务和维修能力，服务响应速度、服务人员水平、备品备件配置等综合评价。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投标人提供的超出招标文件的优惠条件</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评委对投标文件中是否有超出招标文件的优惠条件进行评议，没有实质性优惠条件得0分；有优惠条件的，根据优惠内容市场价值及实用性大小评分。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 w:hRule="atLeast"/>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环境标志产品、节能产品评审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产品列入财政部、发展改革委发布的节能产品品目清单的，提供国家市场监督管理总局公布的《参与实施政府采购节能产品认证机构名录》内的认证机构出具的、处于有效期之内的节能标志产品认证证书的，得1分。</w:t>
            </w:r>
          </w:p>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产品列入财政部、生态环境部发布的环境标志产品品目清单的，提供国家市场监督管理总局公布的《参与实施政府采购环境标志产品认证机构名录》内的认证机构出具的、处于有效期之内的环境标志产品认证证书，得1分。</w:t>
            </w:r>
          </w:p>
        </w:tc>
      </w:tr>
    </w:tbl>
    <w:p>
      <w:pPr>
        <w:spacing w:before="120" w:beforeLines="50" w:after="120" w:afterLines="50"/>
        <w:ind w:firstLine="457" w:firstLineChars="196"/>
        <w:jc w:val="both"/>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spacing w:val="-4"/>
          <w:sz w:val="24"/>
          <w:szCs w:val="24"/>
        </w:rPr>
        <w:t>2、</w:t>
      </w:r>
      <w:r>
        <w:rPr>
          <w:rFonts w:hint="eastAsia" w:asciiTheme="minorEastAsia" w:hAnsiTheme="minorEastAsia" w:eastAsiaTheme="minorEastAsia" w:cstheme="minorEastAsia"/>
          <w:b/>
          <w:bCs/>
          <w:spacing w:val="-4"/>
          <w:sz w:val="24"/>
          <w:szCs w:val="24"/>
        </w:rPr>
        <w:t>价格分（0-35分）</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Fonts w:hint="eastAsia" w:asciiTheme="minorEastAsia" w:hAnsiTheme="minorEastAsia" w:eastAsiaTheme="minorEastAsia" w:cstheme="minorEastAsia"/>
          <w:bCs/>
          <w:spacing w:val="-4"/>
          <w:sz w:val="24"/>
          <w:szCs w:val="24"/>
        </w:rPr>
      </w:pPr>
      <w:r>
        <w:rPr>
          <w:rFonts w:hint="eastAsia" w:asciiTheme="minorEastAsia" w:hAnsiTheme="minorEastAsia" w:eastAsiaTheme="minorEastAsia" w:cstheme="minorEastAsia"/>
          <w:bCs/>
          <w:spacing w:val="-4"/>
          <w:sz w:val="24"/>
          <w:szCs w:val="24"/>
        </w:rPr>
        <w:t>价格分采用低价优先法计算，即满足招标文件要求且投标报价最低的投标报价为评标基准价，其得分为满分35分。其他投标人的价格分按照下列公式计算：</w:t>
      </w:r>
    </w:p>
    <w:p>
      <w:pPr>
        <w:spacing w:before="120" w:beforeLines="50" w:after="120" w:afterLines="5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价格分=（评标基准价/</w:t>
      </w:r>
      <w:r>
        <w:rPr>
          <w:rFonts w:hint="eastAsia" w:asciiTheme="minorEastAsia" w:hAnsiTheme="minorEastAsia" w:eastAsiaTheme="minorEastAsia" w:cstheme="minorEastAsia"/>
          <w:bCs/>
          <w:spacing w:val="-4"/>
          <w:sz w:val="24"/>
          <w:szCs w:val="24"/>
        </w:rPr>
        <w:t>投标报价</w:t>
      </w:r>
      <w:r>
        <w:rPr>
          <w:rFonts w:hint="eastAsia" w:asciiTheme="minorEastAsia" w:hAnsiTheme="minorEastAsia" w:eastAsiaTheme="minorEastAsia" w:cstheme="minorEastAsia"/>
          <w:sz w:val="24"/>
          <w:szCs w:val="24"/>
        </w:rPr>
        <w:t>）×35%×100</w:t>
      </w:r>
    </w:p>
    <w:p>
      <w:pPr>
        <w:numPr>
          <w:ilvl w:val="0"/>
          <w:numId w:val="2"/>
        </w:numPr>
        <w:ind w:firstLine="482" w:firstLineChars="200"/>
        <w:jc w:val="left"/>
        <w:rPr>
          <w:sz w:val="24"/>
        </w:rPr>
      </w:pPr>
      <w:r>
        <w:rPr>
          <w:rFonts w:hint="eastAsia" w:asciiTheme="minorEastAsia" w:hAnsiTheme="minorEastAsia" w:eastAsiaTheme="minorEastAsia" w:cstheme="minorEastAsia"/>
          <w:b/>
          <w:bCs w:val="0"/>
          <w:sz w:val="24"/>
          <w:szCs w:val="24"/>
          <w:lang w:val="en-US" w:eastAsia="zh-CN"/>
        </w:rPr>
        <w:t>总分：</w:t>
      </w:r>
      <w:r>
        <w:rPr>
          <w:rFonts w:hint="eastAsia" w:asciiTheme="minorEastAsia" w:hAnsiTheme="minorEastAsia" w:eastAsiaTheme="minorEastAsia" w:cstheme="minorEastAsia"/>
          <w:sz w:val="24"/>
          <w:szCs w:val="24"/>
        </w:rPr>
        <w:t>投标人的综合得分为以上商务技术分及价格分之和</w:t>
      </w:r>
      <w:r>
        <w:rPr>
          <w:sz w:val="24"/>
        </w:rPr>
        <w:t>。</w:t>
      </w:r>
    </w:p>
    <w:p>
      <w:pPr>
        <w:numPr>
          <w:ilvl w:val="0"/>
          <w:numId w:val="0"/>
        </w:numPr>
        <w:jc w:val="left"/>
        <w:rPr>
          <w:rFonts w:hint="eastAsia"/>
          <w:b/>
          <w:bCs/>
          <w:sz w:val="24"/>
          <w:lang w:val="en-US" w:eastAsia="zh-CN"/>
        </w:rPr>
      </w:pPr>
    </w:p>
    <w:p>
      <w:pPr>
        <w:pStyle w:val="6"/>
        <w:keepNext w:val="0"/>
        <w:keepLines w:val="0"/>
        <w:widowControl/>
        <w:numPr>
          <w:ilvl w:val="0"/>
          <w:numId w:val="0"/>
        </w:numPr>
        <w:suppressLineNumbers w:val="0"/>
        <w:spacing w:before="255" w:beforeAutospacing="0" w:after="255" w:afterAutospacing="0" w:line="300" w:lineRule="atLeast"/>
        <w:ind w:leftChars="0" w:right="0" w:rightChars="0"/>
        <w:jc w:val="both"/>
        <w:rPr>
          <w:rStyle w:val="11"/>
          <w:rFonts w:hint="default" w:eastAsia="宋体" w:asciiTheme="minorEastAsia" w:hAnsiTheme="minorEastAsia" w:cstheme="minorEastAsia"/>
          <w:b/>
          <w:bCs/>
          <w:kern w:val="2"/>
          <w:sz w:val="32"/>
          <w:szCs w:val="32"/>
          <w:lang w:val="en-US" w:eastAsia="zh-CN" w:bidi="ar-SA"/>
        </w:rPr>
      </w:pPr>
      <w:r>
        <w:rPr>
          <w:rStyle w:val="11"/>
          <w:rFonts w:hint="eastAsia" w:eastAsia="宋体" w:asciiTheme="minorEastAsia" w:hAnsiTheme="minorEastAsia" w:cstheme="minorEastAsia"/>
          <w:b/>
          <w:bCs/>
          <w:kern w:val="2"/>
          <w:sz w:val="32"/>
          <w:szCs w:val="32"/>
          <w:lang w:val="en-US" w:eastAsia="zh-CN" w:bidi="ar-SA"/>
        </w:rPr>
        <w:t>九、我院正式合同版本</w:t>
      </w:r>
    </w:p>
    <w:p>
      <w:pPr>
        <w:pStyle w:val="7"/>
        <w:rPr>
          <w:rFonts w:hint="eastAsia"/>
          <w:sz w:val="30"/>
          <w:szCs w:val="30"/>
        </w:rPr>
      </w:pPr>
    </w:p>
    <w:p>
      <w:pPr>
        <w:pStyle w:val="7"/>
        <w:rPr>
          <w:sz w:val="44"/>
        </w:rPr>
      </w:pPr>
      <w:r>
        <w:rPr>
          <w:rFonts w:hint="eastAsia"/>
          <w:sz w:val="30"/>
          <w:szCs w:val="30"/>
        </w:rPr>
        <w:t>温州市中医院医疗设备采购合同</w:t>
      </w:r>
    </w:p>
    <w:p>
      <w:pPr>
        <w:rPr>
          <w:w w:val="95"/>
        </w:rPr>
      </w:pPr>
      <w:r>
        <w:rPr>
          <w:rFonts w:hint="eastAsia"/>
          <w:w w:val="95"/>
        </w:rPr>
        <w:t xml:space="preserve">                                          </w:t>
      </w:r>
      <w:r>
        <w:rPr>
          <w:rFonts w:hint="eastAsia" w:asciiTheme="minorEastAsia" w:hAnsiTheme="minorEastAsia" w:eastAsiaTheme="minorEastAsia" w:cstheme="minorEastAsia"/>
          <w:color w:val="000000" w:themeColor="text1"/>
          <w:kern w:val="0"/>
          <w:sz w:val="24"/>
          <w:szCs w:val="24"/>
          <w:lang w:val="zh-CN" w:eastAsia="zh-CN" w:bidi="zh-CN"/>
          <w14:textFill>
            <w14:solidFill>
              <w14:schemeClr w14:val="tx1"/>
            </w14:solidFill>
          </w14:textFill>
        </w:rPr>
        <w:t>合同编号：</w:t>
      </w:r>
      <w:r>
        <w:rPr>
          <w:rFonts w:hint="eastAsia"/>
          <w:w w:val="95"/>
        </w:rPr>
        <w:t xml:space="preserve">          </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甲方（采购单位）：温州市中医院</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乙方（供应商）： </w:t>
      </w:r>
    </w:p>
    <w:p>
      <w:pPr>
        <w:pStyle w:val="3"/>
        <w:spacing w:before="106"/>
        <w:ind w:left="111" w:right="209" w:firstLine="600" w:firstLineChars="2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z w:val="24"/>
          <w:szCs w:val="24"/>
        </w:rPr>
        <w:t>根据《中华人民共</w:t>
      </w:r>
      <w:r>
        <w:rPr>
          <w:rFonts w:hint="eastAsia" w:asciiTheme="minorEastAsia" w:hAnsiTheme="minorEastAsia" w:eastAsiaTheme="minorEastAsia" w:cstheme="minorEastAsia"/>
          <w:color w:val="000000" w:themeColor="text1"/>
          <w:sz w:val="24"/>
          <w:szCs w:val="24"/>
          <w14:textFill>
            <w14:solidFill>
              <w14:schemeClr w14:val="tx1"/>
            </w14:solidFill>
          </w14:textFill>
        </w:rPr>
        <w:t>和国政府采购法》、《中华人民共和国民法典》等相关法律法规，以及</w:t>
      </w:r>
      <w:r>
        <w:rPr>
          <w:rFonts w:hint="eastAsia" w:asciiTheme="minorEastAsia" w:hAnsiTheme="minorEastAsia" w:eastAsiaTheme="minorEastAsia" w:cstheme="minorEastAsia"/>
          <w:color w:val="000000" w:themeColor="text1"/>
          <w:sz w:val="24"/>
          <w:szCs w:val="24"/>
          <w:u w:val="single"/>
          <w:lang w:val="en-US"/>
          <w14:textFill>
            <w14:solidFill>
              <w14:schemeClr w14:val="tx1"/>
            </w14:solidFill>
          </w14:textFill>
        </w:rPr>
        <w:t>(招标编号)</w:t>
      </w:r>
      <w:r>
        <w:rPr>
          <w:rFonts w:hint="eastAsia" w:asciiTheme="minorEastAsia" w:hAnsiTheme="minorEastAsia" w:eastAsiaTheme="minorEastAsia" w:cstheme="minorEastAsia"/>
          <w:color w:val="000000" w:themeColor="text1"/>
          <w:w w:val="95"/>
          <w:sz w:val="24"/>
          <w:szCs w:val="24"/>
          <w14:textFill>
            <w14:solidFill>
              <w14:schemeClr w14:val="tx1"/>
            </w14:solidFill>
          </w14:textFill>
        </w:rPr>
        <w:t>项</w:t>
      </w:r>
      <w:r>
        <w:rPr>
          <w:rFonts w:hint="eastAsia" w:asciiTheme="minorEastAsia" w:hAnsiTheme="minorEastAsia" w:eastAsiaTheme="minorEastAsia" w:cstheme="minorEastAsia"/>
          <w:color w:val="000000" w:themeColor="text1"/>
          <w:sz w:val="24"/>
          <w:szCs w:val="24"/>
          <w14:textFill>
            <w14:solidFill>
              <w14:schemeClr w14:val="tx1"/>
            </w14:solidFill>
          </w14:textFill>
        </w:rPr>
        <w:t>目（以下简称“项目”）招标文件、中标供应商投标文件、项目采购协议，或入围承诺书，甲乙双方经协商一致，签署本合同。</w:t>
      </w:r>
    </w:p>
    <w:p>
      <w:pPr>
        <w:pStyle w:val="2"/>
        <w:numPr>
          <w:ilvl w:val="0"/>
          <w:numId w:val="3"/>
        </w:numPr>
        <w:spacing w:before="84" w:after="13"/>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货物内容及合同价格</w:t>
      </w:r>
    </w:p>
    <w:tbl>
      <w:tblPr>
        <w:tblStyle w:val="8"/>
        <w:tblW w:w="8364"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4"/>
        <w:gridCol w:w="1418"/>
        <w:gridCol w:w="1559"/>
        <w:gridCol w:w="2126"/>
        <w:gridCol w:w="993"/>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134" w:type="dxa"/>
            <w:vAlign w:val="center"/>
          </w:tcPr>
          <w:p>
            <w:pPr>
              <w:pStyle w:val="15"/>
              <w:spacing w:before="11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货物名称</w:t>
            </w:r>
          </w:p>
        </w:tc>
        <w:tc>
          <w:tcPr>
            <w:tcW w:w="1418" w:type="dxa"/>
            <w:vAlign w:val="center"/>
          </w:tcPr>
          <w:p>
            <w:pPr>
              <w:pStyle w:val="15"/>
              <w:spacing w:before="116"/>
              <w:ind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品牌</w:t>
            </w:r>
          </w:p>
        </w:tc>
        <w:tc>
          <w:tcPr>
            <w:tcW w:w="1559" w:type="dxa"/>
            <w:vAlign w:val="center"/>
          </w:tcPr>
          <w:p>
            <w:pPr>
              <w:pStyle w:val="15"/>
              <w:spacing w:before="116"/>
              <w:ind w:left="287"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型号规格</w:t>
            </w:r>
          </w:p>
        </w:tc>
        <w:tc>
          <w:tcPr>
            <w:tcW w:w="2126" w:type="dxa"/>
            <w:vAlign w:val="center"/>
          </w:tcPr>
          <w:p>
            <w:pPr>
              <w:pStyle w:val="15"/>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配置要求</w:t>
            </w:r>
          </w:p>
        </w:tc>
        <w:tc>
          <w:tcPr>
            <w:tcW w:w="993" w:type="dxa"/>
            <w:vAlign w:val="center"/>
          </w:tcPr>
          <w:p>
            <w:pPr>
              <w:pStyle w:val="15"/>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数量</w:t>
            </w:r>
          </w:p>
        </w:tc>
        <w:tc>
          <w:tcPr>
            <w:tcW w:w="1134" w:type="dxa"/>
            <w:vAlign w:val="center"/>
          </w:tcPr>
          <w:p>
            <w:pPr>
              <w:pStyle w:val="15"/>
              <w:spacing w:before="116"/>
              <w:ind w:left="71" w:right="62"/>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8364" w:type="dxa"/>
            <w:gridSpan w:val="6"/>
          </w:tcPr>
          <w:p>
            <w:pPr>
              <w:pStyle w:val="15"/>
              <w:spacing w:before="116"/>
              <w:ind w:firstLine="1920" w:firstLineChars="8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合同总价大写</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                           小写：￥</w:t>
            </w:r>
          </w:p>
        </w:tc>
      </w:tr>
    </w:tbl>
    <w:p>
      <w:pPr>
        <w:ind w:right="1636"/>
        <w:jc w:val="righ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金额单位：元</w:t>
      </w:r>
    </w:p>
    <w:p>
      <w:pPr>
        <w:pStyle w:val="3"/>
        <w:spacing w:line="0" w:lineRule="atLeast"/>
        <w:ind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注：1、商品型号、数量、配置要求及使用单位地址等详见附件清单</w:t>
      </w:r>
    </w:p>
    <w:p>
      <w:pPr>
        <w:pStyle w:val="3"/>
        <w:spacing w:line="0" w:lineRule="atLeast"/>
        <w:ind w:left="105"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2、以上合同总价包含货物到达用户并能正常使用所需的一切费用，包括但不限于包装费、运输费、装卸费、保险费、安装调试费、技术服务费、培训费以及保修费、税费等。</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二、技术资料</w:t>
      </w:r>
    </w:p>
    <w:p>
      <w:pPr>
        <w:pStyle w:val="16"/>
        <w:numPr>
          <w:ilvl w:val="0"/>
          <w:numId w:val="4"/>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乙方应按招标文件规定的时间向甲方提供使用货物的有关技术资料。</w:t>
      </w:r>
    </w:p>
    <w:p>
      <w:pPr>
        <w:pStyle w:val="16"/>
        <w:numPr>
          <w:ilvl w:val="0"/>
          <w:numId w:val="4"/>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2"/>
        <w:spacing w:before="8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三、知识产权</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乙方应保证所提供的货物或其任何一部分均不会侵犯任何第三方的知识产权。</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四、产权担保</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乙方保证所交付的货物的所有权完全属于乙方且无任何抵押、查封等产权瑕疵。</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五、转包或分包</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本合同范围的货物，应由乙方直接供应，不得转让他人供应，否则，甲方有权解除合同，没收质量保证金并追究乙方的违约责任。</w:t>
      </w:r>
    </w:p>
    <w:p>
      <w:pPr>
        <w:pStyle w:val="2"/>
        <w:spacing w:before="107"/>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六、质保期和质保金</w:t>
      </w:r>
    </w:p>
    <w:p>
      <w:pPr>
        <w:pStyle w:val="16"/>
        <w:numPr>
          <w:ilvl w:val="0"/>
          <w:numId w:val="5"/>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质保期为</w:t>
      </w:r>
      <w:r>
        <w:rPr>
          <w:rFonts w:hint="eastAsia" w:asciiTheme="minorEastAsia" w:hAnsiTheme="minorEastAsia" w:eastAsiaTheme="minorEastAsia" w:cstheme="minorEastAsia"/>
          <w:color w:val="000000" w:themeColor="text1"/>
          <w:spacing w:val="-6"/>
          <w:sz w:val="24"/>
          <w:szCs w:val="24"/>
          <w:u w:val="single"/>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6"/>
          <w:sz w:val="24"/>
          <w:szCs w:val="24"/>
          <w:lang w:val="en-US"/>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14:textFill>
            <w14:solidFill>
              <w14:schemeClr w14:val="tx1"/>
            </w14:solidFill>
          </w14:textFill>
        </w:rPr>
        <w:t>。（自交货验收合格之日起计）</w:t>
      </w:r>
    </w:p>
    <w:p>
      <w:pPr>
        <w:pStyle w:val="16"/>
        <w:numPr>
          <w:ilvl w:val="0"/>
          <w:numId w:val="5"/>
        </w:numPr>
        <w:tabs>
          <w:tab w:val="left" w:pos="522"/>
          <w:tab w:val="left" w:pos="1347"/>
        </w:tabs>
        <w:spacing w:before="7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质保金</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元。</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质量保证金于合同签订后</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日内</w:t>
      </w:r>
      <w:r>
        <w:rPr>
          <w:rFonts w:hint="eastAsia" w:asciiTheme="minorEastAsia" w:hAnsiTheme="minorEastAsia" w:eastAsiaTheme="minorEastAsia" w:cstheme="minorEastAsia"/>
          <w:color w:val="000000" w:themeColor="text1"/>
          <w:sz w:val="24"/>
          <w:szCs w:val="24"/>
          <w14:textFill>
            <w14:solidFill>
              <w14:schemeClr w14:val="tx1"/>
            </w14:solidFill>
          </w14:textFill>
        </w:rPr>
        <w:t>交给采购单位，在合同约定交货验收合格满（</w:t>
      </w:r>
      <w:r>
        <w:rPr>
          <w:rFonts w:hint="eastAsia" w:asciiTheme="minorEastAsia" w:hAnsiTheme="minorEastAsia" w:eastAsiaTheme="minorEastAsia" w:cstheme="minorEastAsia"/>
          <w:color w:val="000000" w:themeColor="text1"/>
          <w:spacing w:val="-2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）个月之日起</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5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个工作日内无息退还]</w:t>
      </w:r>
    </w:p>
    <w:p>
      <w:pPr>
        <w:pStyle w:val="2"/>
        <w:spacing w:before="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七、交货期、交货方式及交货地点</w:t>
      </w:r>
    </w:p>
    <w:p>
      <w:pPr>
        <w:pStyle w:val="16"/>
        <w:numPr>
          <w:ilvl w:val="0"/>
          <w:numId w:val="6"/>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交货期：合同签订后</w:t>
      </w:r>
      <w:r>
        <w:rPr>
          <w:rFonts w:hint="eastAsia" w:asciiTheme="minorEastAsia" w:hAnsiTheme="minorEastAsia" w:eastAsiaTheme="minorEastAsia" w:cstheme="minorEastAsia"/>
          <w:color w:val="000000" w:themeColor="text1"/>
          <w:spacing w:val="-3"/>
          <w:sz w:val="24"/>
          <w:szCs w:val="24"/>
          <w:lang w:val="en-US"/>
          <w14:textFill>
            <w14:solidFill>
              <w14:schemeClr w14:val="tx1"/>
            </w14:solidFill>
          </w14:textFill>
        </w:rPr>
        <w:t xml:space="preserve"> 60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w:t>
      </w:r>
    </w:p>
    <w:p>
      <w:pPr>
        <w:pStyle w:val="16"/>
        <w:numPr>
          <w:ilvl w:val="0"/>
          <w:numId w:val="6"/>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交货方式： 按甲方指定地点</w:t>
      </w:r>
      <w:r>
        <w:rPr>
          <w:rFonts w:hint="eastAsia" w:asciiTheme="minorEastAsia" w:hAnsiTheme="minorEastAsia" w:eastAsiaTheme="minorEastAsia" w:cstheme="minorEastAsia"/>
          <w:color w:val="000000" w:themeColor="text1"/>
          <w:sz w:val="24"/>
          <w:szCs w:val="24"/>
          <w14:textFill>
            <w14:solidFill>
              <w14:schemeClr w14:val="tx1"/>
            </w14:solidFill>
          </w14:textFill>
        </w:rPr>
        <w:t>送货上门</w:t>
      </w:r>
    </w:p>
    <w:p>
      <w:pPr>
        <w:pStyle w:val="16"/>
        <w:numPr>
          <w:ilvl w:val="0"/>
          <w:numId w:val="6"/>
        </w:numPr>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1"/>
          <w:sz w:val="24"/>
          <w:szCs w:val="24"/>
          <w14:textFill>
            <w14:solidFill>
              <w14:schemeClr w14:val="tx1"/>
            </w14:solidFill>
          </w14:textFill>
        </w:rPr>
        <w:t xml:space="preserve">交货地点： </w:t>
      </w:r>
      <w:r>
        <w:rPr>
          <w:rFonts w:hint="eastAsia" w:asciiTheme="minorEastAsia" w:hAnsiTheme="minorEastAsia" w:eastAsiaTheme="minorEastAsia" w:cstheme="minorEastAsia"/>
          <w:color w:val="000000" w:themeColor="text1"/>
          <w:sz w:val="24"/>
          <w:szCs w:val="24"/>
          <w14:textFill>
            <w14:solidFill>
              <w14:schemeClr w14:val="tx1"/>
            </w14:solidFill>
          </w14:textFill>
        </w:rPr>
        <w:t>浙江省温州市鹿城区南汇街道六虹桥路蛟尾路9号</w:t>
      </w:r>
    </w:p>
    <w:p>
      <w:pPr>
        <w:tabs>
          <w:tab w:val="left" w:pos="522"/>
        </w:tabs>
        <w:ind w:left="105" w:right="548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八、</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货款支付</w:t>
      </w:r>
    </w:p>
    <w:p>
      <w:p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甲方按以下第1种方式支付乙方合同价款。</w:t>
      </w:r>
    </w:p>
    <w:p>
      <w:pPr>
        <w:pStyle w:val="3"/>
        <w:spacing w:before="2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1、一次性支付：</w:t>
      </w:r>
    </w:p>
    <w:p>
      <w:pPr>
        <w:pStyle w:val="3"/>
        <w:tabs>
          <w:tab w:val="left" w:pos="4877"/>
        </w:tabs>
        <w:spacing w:before="7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本合同项下的全部货物安装调试完毕并经最终验收合格后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90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个工作日内，甲方向乙方支付全部合同价款。</w:t>
      </w:r>
    </w:p>
    <w:p>
      <w:pPr>
        <w:pStyle w:val="3"/>
        <w:spacing w:before="69"/>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2、分期支付：</w:t>
      </w:r>
    </w:p>
    <w:p>
      <w:pPr>
        <w:pStyle w:val="16"/>
        <w:numPr>
          <w:ilvl w:val="0"/>
          <w:numId w:val="7"/>
        </w:numPr>
        <w:tabs>
          <w:tab w:val="left" w:pos="797"/>
          <w:tab w:val="left" w:pos="2800"/>
          <w:tab w:val="left" w:pos="5814"/>
          <w:tab w:val="left" w:pos="7603"/>
          <w:tab w:val="left" w:pos="8599"/>
        </w:tabs>
        <w:spacing w:before="69"/>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甲方应于本合同生效后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%作为预付款，计¥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16"/>
        <w:numPr>
          <w:ilvl w:val="0"/>
          <w:numId w:val="7"/>
        </w:numPr>
        <w:tabs>
          <w:tab w:val="left" w:pos="797"/>
          <w:tab w:val="left" w:pos="2632"/>
          <w:tab w:val="left" w:pos="6150"/>
          <w:tab w:val="left" w:pos="7098"/>
          <w:tab w:val="left" w:pos="8095"/>
        </w:tabs>
        <w:spacing w:before="118"/>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全部货物验收合格后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2"/>
        <w:spacing w:before="16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九、税费</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本合同执行中相关的一切税费均由乙方负担。</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十、质量保证及售后服务</w:t>
      </w:r>
    </w:p>
    <w:p>
      <w:pPr>
        <w:pStyle w:val="16"/>
        <w:numPr>
          <w:ilvl w:val="0"/>
          <w:numId w:val="8"/>
        </w:numPr>
        <w:tabs>
          <w:tab w:val="left" w:pos="522"/>
        </w:tabs>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乙方保证本合同中所供应的商品是最新生产的符合国家技术规格和质量标准的出厂原装的合格产品。如发生所供商品与合同不符，甲方（采购单位）有权拒收或退货，由此产生的一切责任和后果由乙方承担。</w:t>
      </w:r>
    </w:p>
    <w:p>
      <w:pPr>
        <w:pStyle w:val="16"/>
        <w:numPr>
          <w:ilvl w:val="0"/>
          <w:numId w:val="8"/>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乙方提供的货物在质保期内因货物本身的质量问题发生故障，乙方应负责免费更换。对达不到技术要求者，根据实际情况，经双方协商，可按以下办法处理：</w:t>
      </w:r>
    </w:p>
    <w:p>
      <w:pPr>
        <w:pStyle w:val="16"/>
        <w:numPr>
          <w:ilvl w:val="0"/>
          <w:numId w:val="9"/>
        </w:numPr>
        <w:tabs>
          <w:tab w:val="left" w:pos="797"/>
        </w:tabs>
        <w:spacing w:before="0"/>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更换：由乙方承担所发生的全部费用。</w:t>
      </w:r>
    </w:p>
    <w:p>
      <w:pPr>
        <w:pStyle w:val="16"/>
        <w:numPr>
          <w:ilvl w:val="0"/>
          <w:numId w:val="9"/>
        </w:numPr>
        <w:tabs>
          <w:tab w:val="left" w:pos="797"/>
        </w:tabs>
        <w:spacing w:before="22"/>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贬值处理：由甲乙双方合议定价。</w:t>
      </w:r>
    </w:p>
    <w:p>
      <w:pPr>
        <w:pStyle w:val="16"/>
        <w:numPr>
          <w:ilvl w:val="0"/>
          <w:numId w:val="9"/>
        </w:numPr>
        <w:tabs>
          <w:tab w:val="left" w:pos="797"/>
        </w:tabs>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退货处理：乙方应退还甲方支付的合同款，同时应承担该货物的直接费用（运输、保险、检验、货款利息及银行手续费等）。</w:t>
      </w:r>
    </w:p>
    <w:p>
      <w:pPr>
        <w:pStyle w:val="16"/>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在质保期内，乙方应对货物出现的质量及安全问题负责处理解决并承担一切费用。</w:t>
      </w:r>
    </w:p>
    <w:p>
      <w:pPr>
        <w:pStyle w:val="16"/>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上述的货物在质保期内免费保修，因人为因素出现的故障不在免费保修范围内。超过保修期的机器设备，终生维修，维修时只收部件成本费。乙方应当在甲方通知维修后2日内到达货物所在地进行维修。</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十一、调试和验收</w:t>
      </w:r>
    </w:p>
    <w:p>
      <w:pPr>
        <w:pStyle w:val="16"/>
        <w:numPr>
          <w:ilvl w:val="0"/>
          <w:numId w:val="10"/>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甲方对乙方提交的货物依据招标文件上的技术规格要求和国家有关质量标准进行现场验收。货到后，甲方需在二十个工作日内验收（质量等隐蔽瑕疵除外）。</w:t>
      </w:r>
    </w:p>
    <w:p>
      <w:pPr>
        <w:pStyle w:val="16"/>
        <w:numPr>
          <w:ilvl w:val="0"/>
          <w:numId w:val="10"/>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乙方交货前应对产品作出全面检查和对验收文件进行整理，并列出清单，作为甲方收货验收和使用的技术条件依据，检验的结果应随货物交甲方。</w:t>
      </w:r>
    </w:p>
    <w:p>
      <w:pPr>
        <w:pStyle w:val="16"/>
        <w:numPr>
          <w:ilvl w:val="0"/>
          <w:numId w:val="10"/>
        </w:numPr>
        <w:tabs>
          <w:tab w:val="left" w:pos="522"/>
        </w:tabs>
        <w:spacing w:before="0"/>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甲方对乙方提供的货物在使用前进行调试时，乙方需负责安装并培训甲方的使用操作人员，并协助甲方一起调试，直到符合技术要求，    甲方才做最终验收。</w:t>
      </w:r>
    </w:p>
    <w:p>
      <w:pPr>
        <w:pStyle w:val="16"/>
        <w:numPr>
          <w:ilvl w:val="0"/>
          <w:numId w:val="10"/>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对技术复杂的货物，甲方应请国家认可的专业检测机构参与验收，并由其出具质量检测报告。</w:t>
      </w:r>
    </w:p>
    <w:p>
      <w:pPr>
        <w:pStyle w:val="16"/>
        <w:numPr>
          <w:ilvl w:val="0"/>
          <w:numId w:val="10"/>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验收时乙方必须在现场，验收完毕后作出验收结果报告；验收费用由乙方负责。</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十二、货物包装</w:t>
      </w:r>
    </w:p>
    <w:p>
      <w:pPr>
        <w:pStyle w:val="16"/>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乙方应在货物发运前对其进行满足运输距离、防潮、防震、防锈和防破损装卸等要求包装，以保证货物安全运达甲方指定地点。</w:t>
      </w:r>
    </w:p>
    <w:p>
      <w:pPr>
        <w:pStyle w:val="16"/>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使用说明书、质量检验证明书、随配附件和工具以及清单一并附于货物内。</w:t>
      </w:r>
    </w:p>
    <w:p>
      <w:pPr>
        <w:pStyle w:val="16"/>
        <w:tabs>
          <w:tab w:val="left" w:pos="522"/>
        </w:tabs>
        <w:ind w:left="0" w:right="4471" w:firstLine="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十三、违约责任</w:t>
      </w:r>
    </w:p>
    <w:p>
      <w:pPr>
        <w:pStyle w:val="16"/>
        <w:numPr>
          <w:ilvl w:val="0"/>
          <w:numId w:val="12"/>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甲方无正当理由拒收货物的，甲方向乙方偿付拒收货款总值的</w:t>
      </w:r>
      <w:r>
        <w:rPr>
          <w:rFonts w:hint="eastAsia" w:asciiTheme="minorEastAsia" w:hAnsiTheme="minorEastAsia" w:eastAsiaTheme="minorEastAsia" w:cstheme="minorEastAsia"/>
          <w:color w:val="000000" w:themeColor="text1"/>
          <w:spacing w:val="3"/>
          <w:sz w:val="24"/>
          <w:szCs w:val="24"/>
          <w:u w:val="single" w:color="4068E0"/>
          <w14:textFill>
            <w14:solidFill>
              <w14:schemeClr w14:val="tx1"/>
            </w14:solidFill>
          </w14:textFill>
        </w:rPr>
        <w:t xml:space="preserve"> 百分之五</w:t>
      </w:r>
      <w:r>
        <w:rPr>
          <w:rFonts w:hint="eastAsia" w:asciiTheme="minorEastAsia" w:hAnsiTheme="minorEastAsia" w:eastAsiaTheme="minorEastAsia" w:cstheme="minorEastAsia"/>
          <w:color w:val="000000" w:themeColor="text1"/>
          <w:spacing w:val="45"/>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违约金。</w:t>
      </w:r>
    </w:p>
    <w:p>
      <w:pPr>
        <w:pStyle w:val="16"/>
        <w:numPr>
          <w:ilvl w:val="0"/>
          <w:numId w:val="12"/>
        </w:numPr>
        <w:tabs>
          <w:tab w:val="left" w:pos="522"/>
        </w:tabs>
        <w:spacing w:before="117"/>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甲方无故逾期验收和办理货款支付手续的,甲方应按逾期付款总额每日</w:t>
      </w:r>
      <w:r>
        <w:rPr>
          <w:rFonts w:hint="eastAsia" w:asciiTheme="minorEastAsia" w:hAnsiTheme="minorEastAsia" w:eastAsiaTheme="minorEastAsia" w:cstheme="minorEastAsia"/>
          <w:color w:val="000000" w:themeColor="text1"/>
          <w:spacing w:val="2"/>
          <w:sz w:val="24"/>
          <w:szCs w:val="24"/>
          <w:u w:val="single" w:color="4068E0"/>
          <w14:textFill>
            <w14:solidFill>
              <w14:schemeClr w14:val="tx1"/>
            </w14:solidFill>
          </w14:textFill>
        </w:rPr>
        <w:t xml:space="preserve"> 万分之五</w:t>
      </w:r>
      <w:r>
        <w:rPr>
          <w:rFonts w:hint="eastAsia" w:asciiTheme="minorEastAsia" w:hAnsiTheme="minorEastAsia" w:eastAsiaTheme="minorEastAsia" w:cstheme="minorEastAsia"/>
          <w:color w:val="000000" w:themeColor="text1"/>
          <w:spacing w:val="43"/>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向乙方支付违约金。</w:t>
      </w:r>
    </w:p>
    <w:p>
      <w:pPr>
        <w:pStyle w:val="16"/>
        <w:numPr>
          <w:ilvl w:val="0"/>
          <w:numId w:val="12"/>
        </w:numPr>
        <w:tabs>
          <w:tab w:val="left" w:pos="522"/>
        </w:tabs>
        <w:spacing w:before="118"/>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乙方逾期交付货物的，乙方应按逾期交货总额每日</w:t>
      </w:r>
      <w:r>
        <w:rPr>
          <w:rFonts w:hint="eastAsia" w:asciiTheme="minorEastAsia" w:hAnsiTheme="minorEastAsia" w:eastAsiaTheme="minorEastAsia" w:cstheme="minorEastAsia"/>
          <w:color w:val="000000" w:themeColor="text1"/>
          <w:spacing w:val="15"/>
          <w:sz w:val="24"/>
          <w:szCs w:val="24"/>
          <w:u w:val="single" w:color="4068E0"/>
          <w14:textFill>
            <w14:solidFill>
              <w14:schemeClr w14:val="tx1"/>
            </w14:solidFill>
          </w14:textFill>
        </w:rPr>
        <w:t xml:space="preserve"> 千分之六</w:t>
      </w: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向甲方支付违约金，由甲方从待付货款中扣除。逾期超过约定日期   10 个工作日不能交货的，甲方可解除本合同。乙方因逾期交货或因其他违约行为导致甲方解除合同的，乙方应向甲方支付合同总值</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5</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%的违约金，如造成甲方损失超过违约金的，超出部分由乙方继续承担赔偿责任。</w:t>
      </w:r>
    </w:p>
    <w:p>
      <w:pPr>
        <w:pStyle w:val="16"/>
        <w:numPr>
          <w:ilvl w:val="0"/>
          <w:numId w:val="12"/>
        </w:num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十四、不可抗力事件处理</w:t>
      </w:r>
    </w:p>
    <w:p>
      <w:pPr>
        <w:pStyle w:val="16"/>
        <w:numPr>
          <w:ilvl w:val="0"/>
          <w:numId w:val="13"/>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在合同有效期内，任何一方因不可抗力事件导致不能履行合同，双方协商后，则合同履行期可延长，其延长期与不可抗力影响期相同。</w:t>
      </w:r>
    </w:p>
    <w:p>
      <w:pPr>
        <w:pStyle w:val="16"/>
        <w:numPr>
          <w:ilvl w:val="0"/>
          <w:numId w:val="13"/>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不可抗力事件发生后，应立即通知对方，并寄送有关权威机构出具的证明。</w:t>
      </w:r>
    </w:p>
    <w:p>
      <w:pPr>
        <w:pStyle w:val="16"/>
        <w:numPr>
          <w:ilvl w:val="0"/>
          <w:numId w:val="13"/>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 xml:space="preserve">不可抗力事件延续 </w:t>
      </w:r>
      <w:r>
        <w:rPr>
          <w:rFonts w:hint="eastAsia" w:asciiTheme="minorEastAsia" w:hAnsiTheme="minorEastAsia" w:eastAsiaTheme="minorEastAsia" w:cstheme="minorEastAsia"/>
          <w:color w:val="000000" w:themeColor="text1"/>
          <w:sz w:val="24"/>
          <w:szCs w:val="24"/>
          <w14:textFill>
            <w14:solidFill>
              <w14:schemeClr w14:val="tx1"/>
            </w14:solidFill>
          </w14:textFill>
        </w:rPr>
        <w:t>120天以上，双方可以通过友好协商，确定是否继续履行合同。</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十五、诉讼</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双方在执行合同中所发生的一切争议，应通过协商解决。如协商不成，可向甲方所在地法院起诉。</w:t>
      </w:r>
    </w:p>
    <w:p>
      <w:pPr>
        <w:pStyle w:val="2"/>
        <w:spacing w:before="1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十六、合同生效及其它</w:t>
      </w:r>
    </w:p>
    <w:p>
      <w:pPr>
        <w:pStyle w:val="16"/>
        <w:numPr>
          <w:ilvl w:val="0"/>
          <w:numId w:val="14"/>
        </w:numPr>
        <w:tabs>
          <w:tab w:val="left" w:pos="522"/>
        </w:tabs>
        <w:ind w:hanging="1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本合同经甲、乙双方签字并加盖单位公章后生效。</w:t>
      </w:r>
    </w:p>
    <w:p>
      <w:pPr>
        <w:pStyle w:val="16"/>
        <w:numPr>
          <w:ilvl w:val="0"/>
          <w:numId w:val="14"/>
        </w:numPr>
        <w:tabs>
          <w:tab w:val="left" w:pos="522"/>
        </w:tabs>
        <w:ind w:left="111" w:right="101" w:firstLine="2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招标文件、投标文件、项目采购协议或入围承诺书与本合同具有同等法律效力。如前述各项文件之间约定不一致的，应以最新签署的文件内容为准。</w:t>
      </w:r>
    </w:p>
    <w:p>
      <w:pPr>
        <w:pStyle w:val="16"/>
        <w:numPr>
          <w:ilvl w:val="0"/>
          <w:numId w:val="14"/>
        </w:numPr>
        <w:tabs>
          <w:tab w:val="left" w:pos="522"/>
        </w:tabs>
        <w:spacing w:before="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本合同未尽事宜，以招投标文件为准。</w:t>
      </w:r>
    </w:p>
    <w:p>
      <w:pPr>
        <w:pStyle w:val="16"/>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本合同一式三份，甲方执二份，乙方执一份，具有同等法律效力。</w:t>
      </w:r>
    </w:p>
    <w:p>
      <w:pPr>
        <w:pStyle w:val="16"/>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附件设备配置清单系本合同不可分割的组成部分，与本合同具有同等法律效力。</w:t>
      </w: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甲方（盖章）： 温州市中医院</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乙方（盖章）：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地址：温州市六虹桥路蛟尾路9号                     地址：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法定（授权）代表人：                              法定（授权）代表人：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签字日期：    年    月    日                      签字日期：    年   月   日</w:t>
      </w:r>
    </w:p>
    <w:p>
      <w:pPr>
        <w:widowControl/>
        <w:jc w:val="left"/>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sz w:val="24"/>
          <w:szCs w:val="24"/>
        </w:rPr>
        <w:br w:type="page"/>
      </w:r>
    </w:p>
    <w:p>
      <w:pPr>
        <w:jc w:val="center"/>
        <w:rPr>
          <w:b/>
          <w:sz w:val="36"/>
          <w:szCs w:val="36"/>
        </w:rPr>
      </w:pPr>
      <w:r>
        <w:rPr>
          <w:rFonts w:hint="eastAsia"/>
          <w:b/>
          <w:sz w:val="36"/>
          <w:szCs w:val="36"/>
        </w:rPr>
        <w:t>设备配置清单</w:t>
      </w:r>
    </w:p>
    <w:p>
      <w:pPr>
        <w:pStyle w:val="3"/>
        <w:rPr>
          <w:sz w:val="20"/>
        </w:rPr>
      </w:pPr>
    </w:p>
    <w:tbl>
      <w:tblPr>
        <w:tblStyle w:val="8"/>
        <w:tblpPr w:leftFromText="180" w:rightFromText="180" w:vertAnchor="text" w:horzAnchor="margin" w:tblpXSpec="center" w:tblpY="357"/>
        <w:tblOverlap w:val="never"/>
        <w:tblW w:w="91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992"/>
        <w:gridCol w:w="2934"/>
        <w:gridCol w:w="1815"/>
        <w:gridCol w:w="705"/>
        <w:gridCol w:w="1110"/>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Pr>
          <w:p>
            <w:pPr>
              <w:jc w:val="center"/>
              <w:rPr>
                <w:b/>
                <w:sz w:val="21"/>
                <w:szCs w:val="21"/>
              </w:rPr>
            </w:pPr>
            <w:r>
              <w:rPr>
                <w:rFonts w:hint="eastAsia"/>
                <w:b/>
                <w:sz w:val="21"/>
                <w:szCs w:val="21"/>
              </w:rPr>
              <w:t>序号</w:t>
            </w:r>
          </w:p>
        </w:tc>
        <w:tc>
          <w:tcPr>
            <w:tcW w:w="992" w:type="dxa"/>
            <w:vAlign w:val="center"/>
          </w:tcPr>
          <w:p>
            <w:pPr>
              <w:jc w:val="center"/>
              <w:rPr>
                <w:b/>
                <w:sz w:val="21"/>
                <w:szCs w:val="21"/>
              </w:rPr>
            </w:pPr>
            <w:r>
              <w:rPr>
                <w:rFonts w:hint="eastAsia"/>
                <w:b/>
                <w:sz w:val="21"/>
                <w:szCs w:val="21"/>
              </w:rPr>
              <w:t>品牌</w:t>
            </w:r>
          </w:p>
        </w:tc>
        <w:tc>
          <w:tcPr>
            <w:tcW w:w="2934" w:type="dxa"/>
            <w:vAlign w:val="center"/>
          </w:tcPr>
          <w:p>
            <w:pPr>
              <w:jc w:val="center"/>
              <w:rPr>
                <w:b/>
                <w:sz w:val="21"/>
                <w:szCs w:val="21"/>
              </w:rPr>
            </w:pPr>
            <w:r>
              <w:rPr>
                <w:rFonts w:hint="eastAsia"/>
                <w:b/>
                <w:sz w:val="21"/>
                <w:szCs w:val="21"/>
              </w:rPr>
              <w:t>产品名称</w:t>
            </w:r>
          </w:p>
        </w:tc>
        <w:tc>
          <w:tcPr>
            <w:tcW w:w="1815" w:type="dxa"/>
            <w:vAlign w:val="center"/>
          </w:tcPr>
          <w:p>
            <w:pPr>
              <w:jc w:val="center"/>
              <w:rPr>
                <w:b/>
                <w:sz w:val="21"/>
                <w:szCs w:val="21"/>
              </w:rPr>
            </w:pPr>
            <w:r>
              <w:rPr>
                <w:rFonts w:hint="eastAsia"/>
                <w:b/>
                <w:sz w:val="21"/>
                <w:szCs w:val="21"/>
              </w:rPr>
              <w:t>规格型号</w:t>
            </w:r>
          </w:p>
        </w:tc>
        <w:tc>
          <w:tcPr>
            <w:tcW w:w="705" w:type="dxa"/>
            <w:vAlign w:val="center"/>
          </w:tcPr>
          <w:p>
            <w:pPr>
              <w:jc w:val="center"/>
              <w:rPr>
                <w:b/>
                <w:sz w:val="21"/>
                <w:szCs w:val="21"/>
              </w:rPr>
            </w:pPr>
            <w:r>
              <w:rPr>
                <w:rFonts w:hint="eastAsia"/>
                <w:b/>
                <w:sz w:val="21"/>
                <w:szCs w:val="21"/>
              </w:rPr>
              <w:t>数量</w:t>
            </w:r>
          </w:p>
        </w:tc>
        <w:tc>
          <w:tcPr>
            <w:tcW w:w="1110" w:type="dxa"/>
            <w:vAlign w:val="center"/>
          </w:tcPr>
          <w:p>
            <w:pPr>
              <w:jc w:val="center"/>
              <w:rPr>
                <w:b/>
                <w:sz w:val="21"/>
                <w:szCs w:val="21"/>
              </w:rPr>
            </w:pPr>
            <w:r>
              <w:rPr>
                <w:rFonts w:hint="eastAsia"/>
                <w:b/>
                <w:sz w:val="21"/>
                <w:szCs w:val="21"/>
              </w:rPr>
              <w:t>金额（元）</w:t>
            </w:r>
          </w:p>
        </w:tc>
        <w:tc>
          <w:tcPr>
            <w:tcW w:w="930" w:type="dxa"/>
            <w:vAlign w:val="center"/>
          </w:tcPr>
          <w:p>
            <w:pPr>
              <w:jc w:val="center"/>
              <w:rPr>
                <w:b/>
                <w:sz w:val="21"/>
                <w:szCs w:val="21"/>
              </w:rPr>
            </w:pPr>
            <w:r>
              <w:rPr>
                <w:rFonts w:hint="eastAsia"/>
                <w:b/>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5</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6</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7</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8</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9</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10</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bl>
    <w:p>
      <w:pPr>
        <w:pStyle w:val="3"/>
        <w:rPr>
          <w:sz w:val="20"/>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18"/>
          <w:szCs w:val="20"/>
        </w:rPr>
      </w:pPr>
      <w:r>
        <w:rPr>
          <w:rFonts w:ascii="Calibri" w:hAnsi="Calibri" w:eastAsia="宋体" w:cs="Times New Roman"/>
          <w:sz w:val="18"/>
          <w:szCs w:val="20"/>
        </w:rPr>
        <w:t>甲方</w:t>
      </w:r>
      <w:r>
        <w:rPr>
          <w:rFonts w:ascii="Calibri" w:hAnsi="Calibri" w:eastAsia="宋体" w:cs="Times New Roman"/>
          <w:bCs/>
          <w:sz w:val="18"/>
          <w:szCs w:val="20"/>
        </w:rPr>
        <w:t>：</w:t>
      </w:r>
      <w:r>
        <w:rPr>
          <w:rFonts w:hint="eastAsia" w:ascii="Calibri" w:hAnsi="Calibri" w:eastAsia="宋体" w:cs="Times New Roman"/>
          <w:bCs/>
          <w:sz w:val="18"/>
          <w:szCs w:val="20"/>
        </w:rPr>
        <w:t>温州市中医院</w:t>
      </w:r>
    </w:p>
    <w:p>
      <w:pPr>
        <w:spacing w:line="440" w:lineRule="exact"/>
        <w:rPr>
          <w:rFonts w:hint="eastAsia" w:ascii="Calibri" w:hAnsi="Calibri" w:eastAsia="宋体" w:cs="Times New Roman"/>
          <w:bCs/>
          <w:sz w:val="18"/>
          <w:szCs w:val="20"/>
        </w:rPr>
      </w:pPr>
      <w:r>
        <w:rPr>
          <w:rFonts w:ascii="Calibri" w:hAnsi="Calibri" w:eastAsia="宋体" w:cs="Times New Roman"/>
          <w:sz w:val="18"/>
          <w:szCs w:val="20"/>
        </w:rPr>
        <w:t>乙方</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为进一步加强医疗卫生行风建设，规范医疗卫生机构</w:t>
      </w:r>
      <w:r>
        <w:rPr>
          <w:rFonts w:hint="eastAsia" w:ascii="Calibri" w:hAnsi="Calibri" w:eastAsia="宋体" w:cs="Times New Roman"/>
          <w:bCs/>
          <w:sz w:val="18"/>
          <w:szCs w:val="20"/>
        </w:rPr>
        <w:t>各类</w:t>
      </w:r>
      <w:r>
        <w:rPr>
          <w:rFonts w:ascii="Calibri" w:hAnsi="Calibri" w:eastAsia="宋体" w:cs="Times New Roman"/>
          <w:bCs/>
          <w:sz w:val="18"/>
          <w:szCs w:val="20"/>
        </w:rPr>
        <w:t>购销行为，有效防范商业贿赂行为，营造公平交易、诚实守信的</w:t>
      </w:r>
      <w:r>
        <w:rPr>
          <w:rFonts w:hint="eastAsia" w:ascii="Calibri" w:hAnsi="Calibri" w:eastAsia="宋体" w:cs="Times New Roman"/>
          <w:bCs/>
          <w:sz w:val="18"/>
          <w:szCs w:val="20"/>
        </w:rPr>
        <w:t>“清廉医院”</w:t>
      </w:r>
      <w:r>
        <w:rPr>
          <w:rFonts w:ascii="Calibri" w:hAnsi="Calibri" w:eastAsia="宋体" w:cs="Times New Roman"/>
          <w:bCs/>
          <w:sz w:val="18"/>
          <w:szCs w:val="20"/>
        </w:rPr>
        <w:t>购销环境，经甲、乙双方协商，同意签订本合同，并共同遵守：</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一、甲乙双方按照《</w:t>
      </w:r>
      <w:r>
        <w:rPr>
          <w:rFonts w:hint="eastAsia" w:ascii="Calibri" w:hAnsi="Calibri" w:eastAsia="宋体" w:cs="Times New Roman"/>
          <w:bCs/>
          <w:sz w:val="18"/>
          <w:szCs w:val="20"/>
        </w:rPr>
        <w:t>民法典</w:t>
      </w:r>
      <w:r>
        <w:rPr>
          <w:rFonts w:ascii="Calibri" w:hAnsi="Calibri" w:eastAsia="宋体" w:cs="Times New Roman"/>
          <w:bCs/>
          <w:sz w:val="18"/>
          <w:szCs w:val="20"/>
        </w:rPr>
        <w:t>》</w:t>
      </w:r>
      <w:r>
        <w:rPr>
          <w:rFonts w:hint="eastAsia" w:ascii="Calibri" w:hAnsi="Calibri" w:eastAsia="宋体" w:cs="Times New Roman"/>
          <w:bCs/>
          <w:sz w:val="18"/>
          <w:szCs w:val="20"/>
        </w:rPr>
        <w:t>等相关法规要求，约定</w:t>
      </w:r>
      <w:r>
        <w:rPr>
          <w:rFonts w:ascii="Calibri" w:hAnsi="Calibri" w:eastAsia="宋体" w:cs="Times New Roman"/>
          <w:bCs/>
          <w:sz w:val="18"/>
          <w:szCs w:val="20"/>
        </w:rPr>
        <w:t>购销</w:t>
      </w:r>
      <w:r>
        <w:rPr>
          <w:rFonts w:hint="eastAsia" w:ascii="Calibri" w:hAnsi="Calibri" w:eastAsia="宋体" w:cs="Times New Roman"/>
          <w:bCs/>
          <w:sz w:val="18"/>
          <w:szCs w:val="20"/>
        </w:rPr>
        <w:t>包括但不限于</w:t>
      </w:r>
      <w:r>
        <w:rPr>
          <w:rFonts w:ascii="Calibri" w:hAnsi="Calibri" w:eastAsia="宋体" w:cs="Times New Roman"/>
          <w:bCs/>
          <w:sz w:val="18"/>
          <w:szCs w:val="20"/>
        </w:rPr>
        <w:t>药品、设备、耗材</w:t>
      </w:r>
      <w:r>
        <w:rPr>
          <w:rFonts w:hint="eastAsia" w:ascii="Calibri" w:hAnsi="Calibri" w:eastAsia="宋体" w:cs="Times New Roman"/>
          <w:bCs/>
          <w:sz w:val="18"/>
          <w:szCs w:val="20"/>
        </w:rPr>
        <w:t>、维保</w:t>
      </w:r>
      <w:r>
        <w:rPr>
          <w:rFonts w:ascii="Calibri" w:hAnsi="Calibri" w:eastAsia="宋体" w:cs="Times New Roman"/>
          <w:bCs/>
          <w:sz w:val="18"/>
          <w:szCs w:val="20"/>
        </w:rPr>
        <w:t>等</w:t>
      </w:r>
      <w:r>
        <w:rPr>
          <w:rFonts w:hint="eastAsia" w:ascii="Calibri" w:hAnsi="Calibri" w:eastAsia="宋体" w:cs="Times New Roman"/>
          <w:bCs/>
          <w:sz w:val="18"/>
          <w:szCs w:val="20"/>
        </w:rPr>
        <w:t>货物或服务</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二、甲方应当严格执行合同验收、入库制度，对采购产品及发票进行查验，不得违反有关规定合同外采购、违价采购或从非规定渠道采购。</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四、严禁甲方工作人员利用任何途径和方式，为乙方统计医师个人及临床科室有关医药产品用量信息，或为乙方统计提供便利。</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五、乙方不得以回扣、宴请等方式影响甲方工作人员采购</w:t>
      </w:r>
      <w:r>
        <w:rPr>
          <w:rFonts w:hint="eastAsia" w:ascii="Calibri" w:hAnsi="Calibri" w:eastAsia="宋体" w:cs="Times New Roman"/>
          <w:bCs/>
          <w:sz w:val="18"/>
          <w:szCs w:val="20"/>
        </w:rPr>
        <w:t>或使用</w:t>
      </w:r>
      <w:r>
        <w:rPr>
          <w:rFonts w:ascii="Calibri" w:hAnsi="Calibri" w:eastAsia="宋体" w:cs="Times New Roman"/>
          <w:bCs/>
          <w:sz w:val="18"/>
          <w:szCs w:val="20"/>
        </w:rPr>
        <w:t>产品的选择权，不得在学术活动中提供旅游、超标准支付食宿费用。</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六、乙方指定</w:t>
      </w:r>
      <w:r>
        <w:rPr>
          <w:rFonts w:ascii="Calibri" w:hAnsi="Calibri" w:eastAsia="宋体" w:cs="Times New Roman"/>
          <w:bCs/>
          <w:sz w:val="18"/>
          <w:szCs w:val="20"/>
          <w:u w:val="single"/>
        </w:rPr>
        <w:t xml:space="preserve">                        </w:t>
      </w:r>
      <w:r>
        <w:rPr>
          <w:rFonts w:ascii="Calibri" w:hAnsi="Calibri" w:eastAsia="宋体" w:cs="Times New Roman"/>
          <w:bCs/>
          <w:sz w:val="18"/>
          <w:szCs w:val="20"/>
        </w:rPr>
        <w:t>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18"/>
          <w:szCs w:val="20"/>
          <w:shd w:val="clear" w:color="auto" w:fill="FFFFFF"/>
        </w:rPr>
        <w:t>（国卫法制发〔2013〕50号）</w:t>
      </w:r>
      <w:r>
        <w:rPr>
          <w:rFonts w:hint="eastAsia" w:ascii="Calibri" w:hAnsi="Calibri" w:eastAsia="宋体" w:cs="Times New Roman"/>
          <w:bCs/>
          <w:sz w:val="18"/>
          <w:szCs w:val="20"/>
          <w:shd w:val="clear" w:color="auto" w:fill="FFFFFF"/>
        </w:rPr>
        <w:t>及《关于印发医疗机构工作人员廉洁从业九项准则的通知》（国卫医发〔2021〕37号）</w:t>
      </w:r>
      <w:r>
        <w:rPr>
          <w:rFonts w:ascii="Calibri" w:hAnsi="Calibri" w:eastAsia="宋体" w:cs="Times New Roman"/>
          <w:bCs/>
          <w:sz w:val="18"/>
          <w:szCs w:val="20"/>
        </w:rPr>
        <w:t>相关规定处理。</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八、本合同作为购销合同的重要组成部分，与购销合同一并执行，具有同等的法律效力。</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九、本合同一式三份，甲、乙双方各执一份，甲方纪检监察部门执一份，并从签订之日起生效。</w:t>
      </w:r>
    </w:p>
    <w:p>
      <w:pPr>
        <w:spacing w:line="440" w:lineRule="exact"/>
        <w:rPr>
          <w:rFonts w:ascii="Calibri" w:hAnsi="Calibri" w:eastAsia="宋体" w:cs="Times New Roman"/>
          <w:bCs/>
          <w:sz w:val="18"/>
          <w:szCs w:val="20"/>
        </w:rPr>
      </w:pP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甲方（盖章）：                     </w:t>
      </w:r>
      <w:r>
        <w:rPr>
          <w:rFonts w:hint="eastAsia" w:ascii="Calibri" w:hAnsi="Calibri" w:eastAsia="宋体" w:cs="Times New Roman"/>
          <w:bCs/>
          <w:sz w:val="18"/>
          <w:szCs w:val="20"/>
        </w:rPr>
        <w:t xml:space="preserve">       </w:t>
      </w:r>
      <w:r>
        <w:rPr>
          <w:rFonts w:ascii="Calibri" w:hAnsi="Calibri" w:eastAsia="宋体" w:cs="Times New Roman"/>
          <w:bCs/>
          <w:sz w:val="18"/>
          <w:szCs w:val="20"/>
        </w:rPr>
        <w:t>乙方（盖章）：</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法定代表人（负责人）：             </w:t>
      </w:r>
      <w:r>
        <w:rPr>
          <w:rFonts w:hint="eastAsia" w:ascii="Calibri" w:hAnsi="Calibri" w:eastAsia="宋体" w:cs="Times New Roman"/>
          <w:bCs/>
          <w:sz w:val="18"/>
          <w:szCs w:val="20"/>
        </w:rPr>
        <w:t xml:space="preserve">       </w:t>
      </w:r>
      <w:r>
        <w:rPr>
          <w:rFonts w:ascii="Calibri" w:hAnsi="Calibri" w:eastAsia="宋体" w:cs="Times New Roman"/>
          <w:bCs/>
          <w:sz w:val="18"/>
          <w:szCs w:val="20"/>
        </w:rPr>
        <w:t>法定代表人（负责人）：</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经办人签名：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经办人签名：</w:t>
      </w:r>
    </w:p>
    <w:p>
      <w:pPr>
        <w:spacing w:line="440" w:lineRule="exact"/>
        <w:ind w:firstLine="450" w:firstLineChars="250"/>
        <w:rPr>
          <w:rFonts w:ascii="Calibri" w:hAnsi="Calibri" w:eastAsia="宋体" w:cs="Times New Roman"/>
          <w:sz w:val="18"/>
          <w:szCs w:val="24"/>
        </w:rPr>
      </w:pPr>
      <w:r>
        <w:rPr>
          <w:rFonts w:ascii="Calibri" w:hAnsi="Calibri" w:eastAsia="宋体" w:cs="Times New Roman"/>
          <w:bCs/>
          <w:sz w:val="18"/>
          <w:szCs w:val="20"/>
        </w:rPr>
        <w:t xml:space="preserve">年   月   日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年   月  日</w:t>
      </w:r>
    </w:p>
    <w:p>
      <w:pPr>
        <w:numPr>
          <w:ilvl w:val="0"/>
          <w:numId w:val="0"/>
        </w:numPr>
        <w:jc w:val="left"/>
        <w:rPr>
          <w:rFonts w:hint="default"/>
          <w:b/>
          <w:bCs/>
          <w:sz w:val="24"/>
          <w:lang w:val="en-US" w:eastAsia="zh-CN"/>
        </w:rPr>
      </w:pPr>
    </w:p>
    <w:sectPr>
      <w:pgSz w:w="11906" w:h="16838"/>
      <w:pgMar w:top="850" w:right="1417"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Verdana">
    <w:panose1 w:val="020B0604030504040204"/>
    <w:charset w:val="00"/>
    <w:family w:val="swiss"/>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2">
    <w:nsid w:val="BF205925"/>
    <w:multiLevelType w:val="multilevel"/>
    <w:tmpl w:val="BF205925"/>
    <w:lvl w:ilvl="0" w:tentative="0">
      <w:start w:val="1"/>
      <w:numFmt w:val="decimal"/>
      <w:lvlText w:val="（%1）"/>
      <w:lvlJc w:val="left"/>
      <w:pPr>
        <w:ind w:left="796" w:hanging="446"/>
      </w:pPr>
      <w:rPr>
        <w:rFonts w:hint="default" w:ascii="宋体" w:hAnsi="宋体" w:eastAsia="宋体" w:cs="宋体"/>
        <w:spacing w:val="-13"/>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3">
    <w:nsid w:val="CF092B84"/>
    <w:multiLevelType w:val="multilevel"/>
    <w:tmpl w:val="CF092B84"/>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4">
    <w:nsid w:val="0053208E"/>
    <w:multiLevelType w:val="multilevel"/>
    <w:tmpl w:val="0053208E"/>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5">
    <w:nsid w:val="0248C179"/>
    <w:multiLevelType w:val="multilevel"/>
    <w:tmpl w:val="0248C17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6">
    <w:nsid w:val="03D62ECE"/>
    <w:multiLevelType w:val="multilevel"/>
    <w:tmpl w:val="03D62ECE"/>
    <w:lvl w:ilvl="0" w:tentative="0">
      <w:start w:val="1"/>
      <w:numFmt w:val="decimal"/>
      <w:lvlText w:val="（%1）"/>
      <w:lvlJc w:val="left"/>
      <w:pPr>
        <w:ind w:left="796" w:hanging="446"/>
      </w:pPr>
      <w:rPr>
        <w:rFonts w:hint="default" w:ascii="宋体" w:hAnsi="宋体" w:eastAsia="宋体" w:cs="宋体"/>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7">
    <w:nsid w:val="0EF21C84"/>
    <w:multiLevelType w:val="multilevel"/>
    <w:tmpl w:val="0EF21C84"/>
    <w:lvl w:ilvl="0" w:tentative="0">
      <w:start w:val="1"/>
      <w:numFmt w:val="japaneseCounting"/>
      <w:lvlText w:val="%1、"/>
      <w:lvlJc w:val="left"/>
      <w:pPr>
        <w:ind w:left="525" w:hanging="420"/>
      </w:pPr>
      <w:rPr>
        <w:rFonts w:hint="default"/>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8">
    <w:nsid w:val="11BBAE1D"/>
    <w:multiLevelType w:val="singleLevel"/>
    <w:tmpl w:val="11BBAE1D"/>
    <w:lvl w:ilvl="0" w:tentative="0">
      <w:start w:val="1"/>
      <w:numFmt w:val="chineseCounting"/>
      <w:suff w:val="nothing"/>
      <w:lvlText w:val="%1、"/>
      <w:lvlJc w:val="left"/>
      <w:rPr>
        <w:rFonts w:hint="eastAsia"/>
      </w:rPr>
    </w:lvl>
  </w:abstractNum>
  <w:abstractNum w:abstractNumId="9">
    <w:nsid w:val="1CFCF95C"/>
    <w:multiLevelType w:val="singleLevel"/>
    <w:tmpl w:val="1CFCF95C"/>
    <w:lvl w:ilvl="0" w:tentative="0">
      <w:start w:val="3"/>
      <w:numFmt w:val="decimal"/>
      <w:suff w:val="nothing"/>
      <w:lvlText w:val="%1、"/>
      <w:lvlJc w:val="left"/>
    </w:lvl>
  </w:abstractNum>
  <w:abstractNum w:abstractNumId="10">
    <w:nsid w:val="25B654F3"/>
    <w:multiLevelType w:val="multilevel"/>
    <w:tmpl w:val="25B654F3"/>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1">
    <w:nsid w:val="2A8F537B"/>
    <w:multiLevelType w:val="multilevel"/>
    <w:tmpl w:val="2A8F537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2">
    <w:nsid w:val="59ADCABA"/>
    <w:multiLevelType w:val="multilevel"/>
    <w:tmpl w:val="59ADCABA"/>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3">
    <w:nsid w:val="72183CF9"/>
    <w:multiLevelType w:val="multilevel"/>
    <w:tmpl w:val="72183CF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num w:numId="1">
    <w:abstractNumId w:val="8"/>
  </w:num>
  <w:num w:numId="2">
    <w:abstractNumId w:val="9"/>
  </w:num>
  <w:num w:numId="3">
    <w:abstractNumId w:val="7"/>
  </w:num>
  <w:num w:numId="4">
    <w:abstractNumId w:val="4"/>
  </w:num>
  <w:num w:numId="5">
    <w:abstractNumId w:val="3"/>
  </w:num>
  <w:num w:numId="6">
    <w:abstractNumId w:val="12"/>
  </w:num>
  <w:num w:numId="7">
    <w:abstractNumId w:val="2"/>
  </w:num>
  <w:num w:numId="8">
    <w:abstractNumId w:val="1"/>
  </w:num>
  <w:num w:numId="9">
    <w:abstractNumId w:val="6"/>
  </w:num>
  <w:num w:numId="10">
    <w:abstractNumId w:val="10"/>
  </w:num>
  <w:num w:numId="11">
    <w:abstractNumId w:val="13"/>
  </w:num>
  <w:num w:numId="12">
    <w:abstractNumId w:val="5"/>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MTM1ODcxZjQ3NGE4ODE2Njg0ODFkZTMzOWI0ZjUifQ=="/>
  </w:docVars>
  <w:rsids>
    <w:rsidRoot w:val="00733DD2"/>
    <w:rsid w:val="00026A1F"/>
    <w:rsid w:val="00061188"/>
    <w:rsid w:val="000A2FEB"/>
    <w:rsid w:val="000A5F9B"/>
    <w:rsid w:val="000B2223"/>
    <w:rsid w:val="00154B8C"/>
    <w:rsid w:val="001E31F7"/>
    <w:rsid w:val="0025720F"/>
    <w:rsid w:val="0027418F"/>
    <w:rsid w:val="002902FC"/>
    <w:rsid w:val="002F0826"/>
    <w:rsid w:val="00326C0F"/>
    <w:rsid w:val="003F3199"/>
    <w:rsid w:val="004131B4"/>
    <w:rsid w:val="00420CA3"/>
    <w:rsid w:val="00497393"/>
    <w:rsid w:val="004C713C"/>
    <w:rsid w:val="004E5E1A"/>
    <w:rsid w:val="004E7AFD"/>
    <w:rsid w:val="005147EF"/>
    <w:rsid w:val="005D37B9"/>
    <w:rsid w:val="005E2841"/>
    <w:rsid w:val="00602621"/>
    <w:rsid w:val="00612734"/>
    <w:rsid w:val="00671D4A"/>
    <w:rsid w:val="006A088D"/>
    <w:rsid w:val="00733DD2"/>
    <w:rsid w:val="007F05EF"/>
    <w:rsid w:val="0082310E"/>
    <w:rsid w:val="00855630"/>
    <w:rsid w:val="00863B91"/>
    <w:rsid w:val="008C37D0"/>
    <w:rsid w:val="008E4249"/>
    <w:rsid w:val="0093051F"/>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873FD"/>
    <w:rsid w:val="00D9066A"/>
    <w:rsid w:val="00DD12A9"/>
    <w:rsid w:val="00DE7ADB"/>
    <w:rsid w:val="00E51899"/>
    <w:rsid w:val="00EF7182"/>
    <w:rsid w:val="00F01072"/>
    <w:rsid w:val="00F26748"/>
    <w:rsid w:val="02B15ED7"/>
    <w:rsid w:val="032B7EBE"/>
    <w:rsid w:val="037819C8"/>
    <w:rsid w:val="04165086"/>
    <w:rsid w:val="079468F0"/>
    <w:rsid w:val="0A277157"/>
    <w:rsid w:val="0A323667"/>
    <w:rsid w:val="0B691EBF"/>
    <w:rsid w:val="0D6B27A0"/>
    <w:rsid w:val="0D737863"/>
    <w:rsid w:val="10827943"/>
    <w:rsid w:val="11D15B1C"/>
    <w:rsid w:val="11D56F8A"/>
    <w:rsid w:val="129A029D"/>
    <w:rsid w:val="12C9410A"/>
    <w:rsid w:val="14C02644"/>
    <w:rsid w:val="157B401A"/>
    <w:rsid w:val="17453125"/>
    <w:rsid w:val="183B03FE"/>
    <w:rsid w:val="184F31D7"/>
    <w:rsid w:val="1A2E6DE6"/>
    <w:rsid w:val="1D4821A9"/>
    <w:rsid w:val="202B56B1"/>
    <w:rsid w:val="22723315"/>
    <w:rsid w:val="22CF7097"/>
    <w:rsid w:val="232E51F6"/>
    <w:rsid w:val="23884864"/>
    <w:rsid w:val="27E45486"/>
    <w:rsid w:val="2BA52826"/>
    <w:rsid w:val="2D7F5632"/>
    <w:rsid w:val="2EB05F76"/>
    <w:rsid w:val="2FBD42B3"/>
    <w:rsid w:val="30D412A1"/>
    <w:rsid w:val="316641F0"/>
    <w:rsid w:val="31F8416E"/>
    <w:rsid w:val="32CE7A3F"/>
    <w:rsid w:val="33951D5C"/>
    <w:rsid w:val="34117E05"/>
    <w:rsid w:val="351B0D6F"/>
    <w:rsid w:val="37C66C9B"/>
    <w:rsid w:val="3BB420F5"/>
    <w:rsid w:val="3DB75172"/>
    <w:rsid w:val="3F1B3C4A"/>
    <w:rsid w:val="402E62DF"/>
    <w:rsid w:val="402F4957"/>
    <w:rsid w:val="405108FA"/>
    <w:rsid w:val="4136403A"/>
    <w:rsid w:val="41EF774F"/>
    <w:rsid w:val="42660058"/>
    <w:rsid w:val="43824C1A"/>
    <w:rsid w:val="449E2D2B"/>
    <w:rsid w:val="46094A05"/>
    <w:rsid w:val="460A3EB2"/>
    <w:rsid w:val="477517FF"/>
    <w:rsid w:val="479F5F87"/>
    <w:rsid w:val="497E50E4"/>
    <w:rsid w:val="4A254910"/>
    <w:rsid w:val="4B956476"/>
    <w:rsid w:val="4CE203D0"/>
    <w:rsid w:val="4D3D3121"/>
    <w:rsid w:val="4DCB17F7"/>
    <w:rsid w:val="534B0A6F"/>
    <w:rsid w:val="53CA557A"/>
    <w:rsid w:val="547D6E0D"/>
    <w:rsid w:val="584110E8"/>
    <w:rsid w:val="587C329C"/>
    <w:rsid w:val="595B205E"/>
    <w:rsid w:val="5DEC7787"/>
    <w:rsid w:val="5DFE7766"/>
    <w:rsid w:val="60F93F09"/>
    <w:rsid w:val="63253875"/>
    <w:rsid w:val="63DF0E93"/>
    <w:rsid w:val="683E0693"/>
    <w:rsid w:val="698F00A6"/>
    <w:rsid w:val="6A800692"/>
    <w:rsid w:val="6BF3478F"/>
    <w:rsid w:val="6DE10695"/>
    <w:rsid w:val="6E6658CD"/>
    <w:rsid w:val="6F1A55B9"/>
    <w:rsid w:val="711B411C"/>
    <w:rsid w:val="7392213F"/>
    <w:rsid w:val="739F5CC0"/>
    <w:rsid w:val="748F3673"/>
    <w:rsid w:val="772F4719"/>
    <w:rsid w:val="773504DF"/>
    <w:rsid w:val="7A192AA7"/>
    <w:rsid w:val="7B112F8D"/>
    <w:rsid w:val="7B395E66"/>
    <w:rsid w:val="7C4831AB"/>
    <w:rsid w:val="7E470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jc w:val="left"/>
    </w:pPr>
    <w:rPr>
      <w:rFonts w:ascii="宋体" w:hAnsi="宋体" w:eastAsia="宋体" w:cs="宋体"/>
      <w:kern w:val="0"/>
      <w:sz w:val="17"/>
      <w:szCs w:val="17"/>
      <w:lang w:val="zh-CN" w:bidi="zh-CN"/>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Emphasis"/>
    <w:qFormat/>
    <w:uiPriority w:val="20"/>
    <w:rPr>
      <w:i/>
      <w:iCs/>
    </w:r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 w:type="paragraph" w:customStyle="1" w:styleId="15">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16">
    <w:name w:val="List Paragraph"/>
    <w:basedOn w:val="1"/>
    <w:qFormat/>
    <w:uiPriority w:val="1"/>
    <w:pPr>
      <w:autoSpaceDE w:val="0"/>
      <w:autoSpaceDN w:val="0"/>
      <w:spacing w:before="21"/>
      <w:ind w:left="521" w:hanging="170"/>
      <w:jc w:val="left"/>
    </w:pPr>
    <w:rPr>
      <w:rFonts w:ascii="宋体" w:hAnsi="宋体" w:eastAsia="宋体" w:cs="宋体"/>
      <w:kern w:val="0"/>
      <w:sz w:val="22"/>
      <w:lang w:val="zh-CN" w:bidi="zh-CN"/>
    </w:rPr>
  </w:style>
  <w:style w:type="character" w:customStyle="1" w:styleId="17">
    <w:name w:val="NormalCharacter"/>
    <w:semiHidden/>
    <w:qFormat/>
    <w:uiPriority w:val="0"/>
  </w:style>
  <w:style w:type="character" w:customStyle="1" w:styleId="18">
    <w:name w:val="font3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character" w:customStyle="1" w:styleId="20">
    <w:name w:val="font41"/>
    <w:basedOn w:val="10"/>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WZSZYY.CN</Company>
  <Pages>11</Pages>
  <Words>7178</Words>
  <Characters>7509</Characters>
  <Lines>6</Lines>
  <Paragraphs>1</Paragraphs>
  <TotalTime>0</TotalTime>
  <ScaleCrop>false</ScaleCrop>
  <LinksUpToDate>false</LinksUpToDate>
  <CharactersWithSpaces>8040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李恩贤</cp:lastModifiedBy>
  <dcterms:modified xsi:type="dcterms:W3CDTF">2022-05-03T03:02:56Z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2052-11.1.0.11636</vt:lpwstr>
  </property>
  <property fmtid="{D5CDD505-2E9C-101B-9397-08002B2CF9AE}" pid="4" name="ICV">
    <vt:lpwstr>99012001CC8449E1B44B4987A03F7E88</vt:lpwstr>
  </property>
</Properties>
</file>