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Style w:val="12"/>
          <w:rFonts w:hint="eastAsia" w:asciiTheme="minorEastAsia" w:hAnsiTheme="minorEastAsia" w:eastAsiaTheme="minorEastAsia" w:cstheme="minorEastAsia"/>
          <w:b/>
          <w:bCs/>
          <w:sz w:val="32"/>
          <w:szCs w:val="32"/>
          <w:lang w:val="en-US" w:eastAsia="zh-CN"/>
        </w:rPr>
      </w:pPr>
      <w:r>
        <w:rPr>
          <w:rStyle w:val="12"/>
          <w:rFonts w:hint="eastAsia" w:asciiTheme="minorEastAsia" w:hAnsiTheme="minorEastAsia" w:eastAsiaTheme="minorEastAsia" w:cstheme="minorEastAsia"/>
          <w:b/>
          <w:bCs/>
          <w:sz w:val="36"/>
          <w:szCs w:val="36"/>
          <w:lang w:val="en-US" w:eastAsia="zh-CN"/>
        </w:rPr>
        <w:t>温州市中医院关于体外膈肌起搏器项目的招标</w:t>
      </w:r>
    </w:p>
    <w:p>
      <w:pPr>
        <w:numPr>
          <w:ilvl w:val="0"/>
          <w:numId w:val="1"/>
        </w:numPr>
        <w:jc w:val="both"/>
        <w:rPr>
          <w:rStyle w:val="12"/>
          <w:rFonts w:hint="eastAsia" w:asciiTheme="minorEastAsia" w:hAnsiTheme="minorEastAsia" w:eastAsiaTheme="minorEastAsia" w:cstheme="minorEastAsia"/>
          <w:b/>
          <w:bCs/>
          <w:sz w:val="32"/>
          <w:szCs w:val="32"/>
        </w:rPr>
      </w:pPr>
      <w:r>
        <w:rPr>
          <w:rStyle w:val="12"/>
          <w:rFonts w:hint="eastAsia" w:asciiTheme="minorEastAsia" w:hAnsiTheme="minorEastAsia" w:eastAsiaTheme="minorEastAsia" w:cstheme="minorEastAsia"/>
          <w:b/>
          <w:bCs/>
          <w:sz w:val="32"/>
          <w:szCs w:val="32"/>
        </w:rPr>
        <w:t>项目基本情况</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05"/>
        <w:gridCol w:w="51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05" w:type="dxa"/>
          </w:tcPr>
          <w:p>
            <w:pPr>
              <w:jc w:val="both"/>
              <w:rPr>
                <w:rFonts w:hint="default" w:asciiTheme="minorEastAsia" w:hAnsiTheme="minorEastAsia" w:eastAsiaTheme="minorEastAsia" w:cstheme="minorEastAsia"/>
                <w:b w:val="0"/>
                <w:bCs w:val="0"/>
                <w:sz w:val="24"/>
                <w:szCs w:val="24"/>
                <w:vertAlign w:val="baseline"/>
                <w:lang w:val="en-US"/>
              </w:rPr>
            </w:pPr>
            <w:r>
              <w:rPr>
                <w:rFonts w:hint="eastAsia" w:asciiTheme="minorEastAsia" w:hAnsiTheme="minorEastAsia" w:eastAsiaTheme="minorEastAsia" w:cstheme="minorEastAsia"/>
                <w:b w:val="0"/>
                <w:bCs w:val="0"/>
                <w:sz w:val="24"/>
                <w:szCs w:val="24"/>
              </w:rPr>
              <w:t>项目编号：</w:t>
            </w:r>
            <w:r>
              <w:rPr>
                <w:rFonts w:hint="eastAsia" w:asciiTheme="minorEastAsia" w:hAnsiTheme="minorEastAsia" w:eastAsiaTheme="minorEastAsia" w:cstheme="minorEastAsia"/>
                <w:sz w:val="24"/>
                <w:szCs w:val="24"/>
                <w:vertAlign w:val="baseline"/>
                <w:lang w:val="en-US" w:eastAsia="zh-CN"/>
              </w:rPr>
              <w:t>2022-sb-cg-00</w:t>
            </w:r>
            <w:r>
              <w:rPr>
                <w:rFonts w:hint="eastAsia" w:asciiTheme="minorEastAsia" w:hAnsiTheme="minorEastAsia" w:cstheme="minorEastAsia"/>
                <w:sz w:val="24"/>
                <w:szCs w:val="24"/>
                <w:vertAlign w:val="baseline"/>
                <w:lang w:val="en-US" w:eastAsia="zh-CN"/>
              </w:rPr>
              <w:t>8</w:t>
            </w:r>
          </w:p>
        </w:tc>
        <w:tc>
          <w:tcPr>
            <w:tcW w:w="5183" w:type="dxa"/>
          </w:tcPr>
          <w:p>
            <w:pPr>
              <w:jc w:val="left"/>
              <w:rPr>
                <w:rFonts w:hint="eastAsia" w:asciiTheme="minorEastAsia" w:hAnsiTheme="minorEastAsia" w:eastAsiaTheme="minorEastAsia" w:cstheme="minorEastAsia"/>
                <w:b w:val="0"/>
                <w:bCs w:val="0"/>
                <w:sz w:val="24"/>
                <w:szCs w:val="24"/>
                <w:vertAlign w:val="baseline"/>
                <w:lang w:eastAsia="zh-CN"/>
              </w:rPr>
            </w:pPr>
            <w:r>
              <w:rPr>
                <w:rFonts w:hint="eastAsia" w:asciiTheme="minorEastAsia" w:hAnsiTheme="minorEastAsia" w:eastAsiaTheme="minorEastAsia" w:cstheme="minorEastAsia"/>
                <w:b w:val="0"/>
                <w:bCs w:val="0"/>
                <w:sz w:val="24"/>
                <w:szCs w:val="24"/>
              </w:rPr>
              <w:t>项目名称：</w:t>
            </w:r>
            <w:r>
              <w:rPr>
                <w:rFonts w:hint="eastAsia" w:asciiTheme="minorEastAsia" w:hAnsiTheme="minorEastAsia" w:cstheme="minorEastAsia"/>
                <w:sz w:val="24"/>
                <w:szCs w:val="24"/>
                <w:vertAlign w:val="baseline"/>
                <w:lang w:val="en-US" w:eastAsia="zh-CN"/>
              </w:rPr>
              <w:t>体外膈肌起搏器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05" w:type="dxa"/>
          </w:tcPr>
          <w:p>
            <w:pPr>
              <w:jc w:val="both"/>
              <w:rPr>
                <w:rFonts w:hint="default" w:asciiTheme="minorEastAsia" w:hAnsiTheme="minorEastAsia" w:eastAsia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数量：3台</w:t>
            </w:r>
          </w:p>
        </w:tc>
        <w:tc>
          <w:tcPr>
            <w:tcW w:w="5183" w:type="dxa"/>
          </w:tcPr>
          <w:p>
            <w:pPr>
              <w:jc w:val="both"/>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rPr>
              <w:t>预算</w:t>
            </w:r>
            <w:r>
              <w:rPr>
                <w:rFonts w:hint="eastAsia" w:asciiTheme="minorEastAsia" w:hAnsiTheme="minorEastAsia" w:cstheme="minorEastAsia"/>
                <w:b w:val="0"/>
                <w:bCs w:val="0"/>
                <w:sz w:val="24"/>
                <w:szCs w:val="24"/>
                <w:lang w:val="en-US" w:eastAsia="zh-CN"/>
              </w:rPr>
              <w:t>总</w:t>
            </w:r>
            <w:r>
              <w:rPr>
                <w:rFonts w:hint="eastAsia" w:asciiTheme="minorEastAsia" w:hAnsiTheme="minorEastAsia" w:eastAsiaTheme="minorEastAsia" w:cstheme="minorEastAsia"/>
                <w:b w:val="0"/>
                <w:bCs w:val="0"/>
                <w:sz w:val="24"/>
                <w:szCs w:val="24"/>
              </w:rPr>
              <w:t>金额（元）:</w:t>
            </w:r>
            <w:r>
              <w:rPr>
                <w:rFonts w:hint="eastAsia" w:asciiTheme="minorEastAsia" w:hAnsiTheme="minorEastAsia" w:cstheme="minorEastAsia"/>
                <w:b w:val="0"/>
                <w:bCs w:val="0"/>
                <w:sz w:val="24"/>
                <w:szCs w:val="24"/>
                <w:lang w:val="en-US" w:eastAsia="zh-CN"/>
              </w:rPr>
              <w:t>4.8万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8" w:type="dxa"/>
            <w:gridSpan w:val="2"/>
          </w:tcPr>
          <w:p>
            <w:pPr>
              <w:jc w:val="both"/>
              <w:rPr>
                <w:rFonts w:hint="eastAsia"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sz w:val="24"/>
                <w:szCs w:val="24"/>
              </w:rPr>
              <w:t>简要规格描述或项目基本概况介绍、用途：</w:t>
            </w:r>
            <w:r>
              <w:rPr>
                <w:rFonts w:hint="eastAsia" w:ascii="宋体" w:hAnsi="宋体"/>
                <w:sz w:val="24"/>
                <w:szCs w:val="24"/>
              </w:rPr>
              <w:t>通过功能性电刺激膈神经引起膈肌收缩，达到改善通气的目的</w:t>
            </w:r>
            <w:r>
              <w:rPr>
                <w:rFonts w:hint="eastAsia" w:ascii="宋体" w:hAnsi="宋体"/>
                <w:sz w:val="24"/>
                <w:szCs w:val="24"/>
                <w:lang w:val="en-US" w:eastAsia="zh-CN"/>
              </w:rPr>
              <w:t>,用于慢性阻塞性肺疾病引发的气短或呼吸困难、慢性咳嗽、咳痰、喘息症状的辅助治疗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8" w:type="dxa"/>
            <w:gridSpan w:val="2"/>
          </w:tcPr>
          <w:p>
            <w:pPr>
              <w:jc w:val="both"/>
              <w:rPr>
                <w:rFonts w:hint="eastAsia"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sz w:val="24"/>
                <w:szCs w:val="24"/>
              </w:rPr>
              <w:t>备注：</w:t>
            </w:r>
            <w:r>
              <w:rPr>
                <w:rFonts w:hint="eastAsia" w:asciiTheme="minorEastAsia" w:hAnsiTheme="minorEastAsia" w:cstheme="minorEastAsia"/>
                <w:sz w:val="24"/>
                <w:szCs w:val="24"/>
                <w:lang w:eastAsia="zh-CN"/>
              </w:rPr>
              <w:t>国产</w:t>
            </w:r>
          </w:p>
        </w:tc>
      </w:tr>
    </w:tbl>
    <w:p>
      <w:pPr>
        <w:jc w:val="both"/>
        <w:rPr>
          <w:rFonts w:hint="eastAsia" w:asciiTheme="minorEastAsia" w:hAnsiTheme="minorEastAsia" w:eastAsiaTheme="minorEastAsia" w:cstheme="minorEastAsia"/>
          <w:b w:val="0"/>
          <w:bCs w:val="0"/>
          <w:sz w:val="24"/>
          <w:szCs w:val="24"/>
        </w:rPr>
      </w:pPr>
    </w:p>
    <w:p>
      <w:pPr>
        <w:numPr>
          <w:ilvl w:val="0"/>
          <w:numId w:val="1"/>
        </w:numPr>
        <w:jc w:val="both"/>
        <w:rPr>
          <w:rStyle w:val="12"/>
          <w:rFonts w:hint="eastAsia" w:asciiTheme="minorEastAsia" w:hAnsiTheme="minorEastAsia" w:eastAsiaTheme="minorEastAsia" w:cstheme="minorEastAsia"/>
          <w:b/>
          <w:bCs/>
          <w:sz w:val="32"/>
          <w:szCs w:val="32"/>
          <w:lang w:val="en-US" w:eastAsia="zh-CN"/>
        </w:rPr>
      </w:pPr>
      <w:r>
        <w:rPr>
          <w:rStyle w:val="12"/>
          <w:rFonts w:hint="eastAsia" w:asciiTheme="minorEastAsia" w:hAnsiTheme="minorEastAsia" w:eastAsiaTheme="minorEastAsia" w:cstheme="minorEastAsia"/>
          <w:b/>
          <w:bCs/>
          <w:sz w:val="32"/>
          <w:szCs w:val="32"/>
          <w:lang w:val="en-US" w:eastAsia="zh-CN"/>
        </w:rPr>
        <w:t>采购方式和定标原则</w:t>
      </w:r>
    </w:p>
    <w:p>
      <w:pPr>
        <w:numPr>
          <w:ilvl w:val="0"/>
          <w:numId w:val="0"/>
        </w:numPr>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本项目我院采取院内组织公开招标的方式，以综合评分最高者中标的原则确定中标供应商。</w:t>
      </w:r>
    </w:p>
    <w:p>
      <w:pPr>
        <w:pStyle w:val="7"/>
        <w:keepNext w:val="0"/>
        <w:keepLines w:val="0"/>
        <w:widowControl/>
        <w:numPr>
          <w:ilvl w:val="0"/>
          <w:numId w:val="1"/>
        </w:numPr>
        <w:suppressLineNumbers w:val="0"/>
        <w:spacing w:before="255" w:beforeAutospacing="0" w:after="255" w:afterAutospacing="0" w:line="300" w:lineRule="atLeast"/>
        <w:ind w:left="0" w:leftChars="0" w:right="0" w:firstLine="0" w:firstLineChars="0"/>
        <w:jc w:val="both"/>
        <w:rPr>
          <w:rStyle w:val="12"/>
          <w:rFonts w:hint="eastAsia" w:asciiTheme="minorEastAsia" w:hAnsiTheme="minorEastAsia" w:eastAsiaTheme="minorEastAsia" w:cstheme="minorEastAsia"/>
          <w:b/>
          <w:bCs/>
          <w:kern w:val="2"/>
          <w:sz w:val="32"/>
          <w:szCs w:val="32"/>
          <w:lang w:val="en-US" w:eastAsia="zh-CN" w:bidi="ar-SA"/>
        </w:rPr>
      </w:pPr>
      <w:r>
        <w:rPr>
          <w:rStyle w:val="12"/>
          <w:rFonts w:hint="eastAsia" w:asciiTheme="minorEastAsia" w:hAnsiTheme="minorEastAsia" w:eastAsiaTheme="minorEastAsia" w:cstheme="minorEastAsia"/>
          <w:b/>
          <w:bCs/>
          <w:kern w:val="2"/>
          <w:sz w:val="32"/>
          <w:szCs w:val="32"/>
          <w:lang w:val="en-US" w:eastAsia="zh-CN" w:bidi="ar-SA"/>
        </w:rPr>
        <w:t>获取招标文件</w:t>
      </w:r>
    </w:p>
    <w:p>
      <w:pPr>
        <w:pStyle w:val="7"/>
        <w:keepNext w:val="0"/>
        <w:keepLines w:val="0"/>
        <w:widowControl/>
        <w:suppressLineNumbers w:val="0"/>
        <w:spacing w:line="300" w:lineRule="atLeast"/>
        <w:rPr>
          <w:rFonts w:hint="eastAsia" w:asciiTheme="minorEastAsia" w:hAnsiTheme="minorEastAsia" w:eastAsiaTheme="minorEastAsia" w:cstheme="minorEastAsia"/>
          <w:kern w:val="2"/>
          <w:sz w:val="24"/>
          <w:szCs w:val="24"/>
          <w:highlight w:val="yellow"/>
          <w:lang w:val="en-US" w:eastAsia="zh-CN" w:bidi="ar-SA"/>
        </w:rPr>
      </w:pPr>
      <w:r>
        <w:rPr>
          <w:rFonts w:hint="eastAsia" w:asciiTheme="minorEastAsia" w:hAnsiTheme="minorEastAsia" w:eastAsiaTheme="minorEastAsia" w:cstheme="minorEastAsia"/>
          <w:kern w:val="2"/>
          <w:sz w:val="24"/>
          <w:szCs w:val="24"/>
          <w:lang w:val="en-US" w:eastAsia="zh-CN" w:bidi="ar-SA"/>
        </w:rPr>
        <w:t>地点（网址）</w:t>
      </w:r>
      <w:r>
        <w:rPr>
          <w:rFonts w:hint="eastAsia" w:asciiTheme="minorEastAsia" w:hAnsiTheme="minorEastAsia" w:eastAsiaTheme="minorEastAsia" w:cstheme="minorEastAsia"/>
          <w:kern w:val="2"/>
          <w:sz w:val="24"/>
          <w:szCs w:val="24"/>
          <w:highlight w:val="none"/>
          <w:lang w:val="en-US" w:eastAsia="zh-CN" w:bidi="ar-SA"/>
        </w:rPr>
        <w:t>：</w:t>
      </w:r>
      <w:r>
        <w:rPr>
          <w:rFonts w:hint="eastAsia" w:asciiTheme="minorEastAsia" w:hAnsiTheme="minorEastAsia" w:eastAsiaTheme="minorEastAsia" w:cstheme="minorEastAsia"/>
          <w:kern w:val="2"/>
          <w:szCs w:val="24"/>
          <w:highlight w:val="none"/>
          <w:lang w:eastAsia="zh-CN"/>
        </w:rPr>
        <w:t>h</w:t>
      </w:r>
      <w:r>
        <w:rPr>
          <w:rFonts w:hint="eastAsia" w:asciiTheme="minorEastAsia" w:hAnsiTheme="minorEastAsia" w:eastAsiaTheme="minorEastAsia" w:cstheme="minorEastAsia"/>
          <w:kern w:val="2"/>
          <w:szCs w:val="24"/>
          <w:lang w:eastAsia="zh-CN"/>
        </w:rPr>
        <w:t>ttp://www.wzszyy.com/</w:t>
      </w:r>
    </w:p>
    <w:p>
      <w:pPr>
        <w:pStyle w:val="7"/>
        <w:keepNext w:val="0"/>
        <w:keepLines w:val="0"/>
        <w:widowControl/>
        <w:numPr>
          <w:ilvl w:val="0"/>
          <w:numId w:val="1"/>
        </w:numPr>
        <w:suppressLineNumbers w:val="0"/>
        <w:spacing w:before="255" w:beforeAutospacing="0" w:after="255" w:afterAutospacing="0" w:line="300" w:lineRule="atLeast"/>
        <w:ind w:left="0" w:leftChars="0" w:right="0" w:firstLine="0" w:firstLineChars="0"/>
        <w:jc w:val="both"/>
        <w:rPr>
          <w:rStyle w:val="12"/>
          <w:rFonts w:hint="eastAsia" w:asciiTheme="minorEastAsia" w:hAnsiTheme="minorEastAsia" w:eastAsiaTheme="minorEastAsia" w:cstheme="minorEastAsia"/>
          <w:b/>
          <w:bCs/>
          <w:kern w:val="2"/>
          <w:sz w:val="32"/>
          <w:szCs w:val="32"/>
          <w:lang w:val="en-US" w:eastAsia="zh-CN" w:bidi="ar-SA"/>
        </w:rPr>
      </w:pPr>
      <w:r>
        <w:rPr>
          <w:rStyle w:val="12"/>
          <w:rFonts w:hint="eastAsia" w:asciiTheme="minorEastAsia" w:hAnsiTheme="minorEastAsia" w:eastAsiaTheme="minorEastAsia" w:cstheme="minorEastAsia"/>
          <w:b/>
          <w:bCs/>
          <w:kern w:val="2"/>
          <w:sz w:val="32"/>
          <w:szCs w:val="32"/>
          <w:lang w:val="en-US" w:eastAsia="zh-CN" w:bidi="ar-SA"/>
        </w:rPr>
        <w:t>提交投标文件截止时间、开标时间和地点</w:t>
      </w:r>
    </w:p>
    <w:p>
      <w:pP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1、</w:t>
      </w:r>
      <w:r>
        <w:rPr>
          <w:rFonts w:hint="eastAsia" w:asciiTheme="minorEastAsia" w:hAnsiTheme="minorEastAsia" w:eastAsiaTheme="minorEastAsia" w:cstheme="minorEastAsia"/>
          <w:kern w:val="2"/>
          <w:sz w:val="24"/>
          <w:szCs w:val="24"/>
          <w:lang w:val="en-US" w:eastAsia="zh-CN" w:bidi="ar-SA"/>
        </w:rPr>
        <w:t>提交投标文件截止时间：2022年</w:t>
      </w:r>
      <w:bookmarkStart w:id="0" w:name="_GoBack"/>
      <w:bookmarkEnd w:id="0"/>
      <w:r>
        <w:rPr>
          <w:rFonts w:hint="eastAsia" w:asciiTheme="minorEastAsia" w:hAnsiTheme="minorEastAsia" w:eastAsiaTheme="minorEastAsia" w:cstheme="minorEastAsia"/>
          <w:kern w:val="2"/>
          <w:sz w:val="24"/>
          <w:szCs w:val="24"/>
          <w:lang w:val="en-US" w:eastAsia="zh-CN" w:bidi="ar-SA"/>
        </w:rPr>
        <w:t>5月</w:t>
      </w:r>
      <w:r>
        <w:rPr>
          <w:rFonts w:hint="eastAsia" w:asciiTheme="minorEastAsia" w:hAnsiTheme="minorEastAsia" w:cstheme="minorEastAsia"/>
          <w:kern w:val="2"/>
          <w:sz w:val="24"/>
          <w:szCs w:val="24"/>
          <w:lang w:val="en-US" w:eastAsia="zh-CN" w:bidi="ar-SA"/>
        </w:rPr>
        <w:t>12</w:t>
      </w:r>
      <w:r>
        <w:rPr>
          <w:rFonts w:hint="eastAsia" w:asciiTheme="minorEastAsia" w:hAnsiTheme="minorEastAsia" w:eastAsiaTheme="minorEastAsia" w:cstheme="minorEastAsia"/>
          <w:kern w:val="2"/>
          <w:sz w:val="24"/>
          <w:szCs w:val="24"/>
          <w:lang w:val="en-US" w:eastAsia="zh-CN" w:bidi="ar-SA"/>
        </w:rPr>
        <w:t>日下午14：00（北京时间）</w:t>
      </w:r>
      <w:r>
        <w:rPr>
          <w:rFonts w:hint="eastAsia" w:asciiTheme="minorEastAsia" w:hAnsiTheme="minorEastAsia" w:eastAsiaTheme="minorEastAsia" w:cstheme="minorEastAsia"/>
          <w:kern w:val="2"/>
          <w:sz w:val="24"/>
          <w:szCs w:val="24"/>
          <w:lang w:val="en-US" w:eastAsia="zh-CN" w:bidi="ar-SA"/>
        </w:rPr>
        <w:br w:type="textWrapping"/>
      </w:r>
      <w:r>
        <w:rPr>
          <w:rFonts w:hint="eastAsia" w:asciiTheme="minorEastAsia" w:hAnsiTheme="minorEastAsia" w:cstheme="minorEastAsia"/>
          <w:kern w:val="2"/>
          <w:sz w:val="24"/>
          <w:szCs w:val="24"/>
          <w:lang w:val="en-US" w:eastAsia="zh-CN" w:bidi="ar-SA"/>
        </w:rPr>
        <w:t>2、</w:t>
      </w:r>
      <w:r>
        <w:rPr>
          <w:rFonts w:hint="eastAsia" w:asciiTheme="minorEastAsia" w:hAnsiTheme="minorEastAsia" w:eastAsiaTheme="minorEastAsia" w:cstheme="minorEastAsia"/>
          <w:kern w:val="2"/>
          <w:sz w:val="24"/>
          <w:szCs w:val="24"/>
          <w:lang w:val="en-US" w:eastAsia="zh-CN" w:bidi="ar-SA"/>
        </w:rPr>
        <w:t>开标时间：2022年5月</w:t>
      </w:r>
      <w:r>
        <w:rPr>
          <w:rFonts w:hint="eastAsia" w:asciiTheme="minorEastAsia" w:hAnsiTheme="minorEastAsia" w:cstheme="minorEastAsia"/>
          <w:kern w:val="2"/>
          <w:sz w:val="24"/>
          <w:szCs w:val="24"/>
          <w:lang w:val="en-US" w:eastAsia="zh-CN" w:bidi="ar-SA"/>
        </w:rPr>
        <w:t>12</w:t>
      </w:r>
      <w:r>
        <w:rPr>
          <w:rFonts w:hint="eastAsia" w:asciiTheme="minorEastAsia" w:hAnsiTheme="minorEastAsia" w:eastAsiaTheme="minorEastAsia" w:cstheme="minorEastAsia"/>
          <w:kern w:val="2"/>
          <w:sz w:val="24"/>
          <w:szCs w:val="24"/>
          <w:lang w:val="en-US" w:eastAsia="zh-CN" w:bidi="ar-SA"/>
        </w:rPr>
        <w:t>日下午14：10（北京时间）</w:t>
      </w:r>
    </w:p>
    <w:p>
      <w:pP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3、</w:t>
      </w:r>
      <w:r>
        <w:rPr>
          <w:rFonts w:hint="eastAsia" w:asciiTheme="minorEastAsia" w:hAnsiTheme="minorEastAsia" w:eastAsiaTheme="minorEastAsia" w:cstheme="minorEastAsia"/>
          <w:kern w:val="2"/>
          <w:sz w:val="24"/>
          <w:szCs w:val="24"/>
          <w:lang w:val="en-US" w:eastAsia="zh-CN" w:bidi="ar-SA"/>
        </w:rPr>
        <w:t xml:space="preserve">开标地点：温州市中医院行政楼3楼309会议室 </w:t>
      </w:r>
    </w:p>
    <w:p>
      <w:pP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4、</w:t>
      </w:r>
      <w:r>
        <w:rPr>
          <w:rFonts w:hint="eastAsia" w:asciiTheme="minorEastAsia" w:hAnsiTheme="minorEastAsia" w:eastAsiaTheme="minorEastAsia" w:cstheme="minorEastAsia"/>
          <w:kern w:val="2"/>
          <w:sz w:val="24"/>
          <w:szCs w:val="24"/>
          <w:lang w:val="en-US" w:eastAsia="zh-CN" w:bidi="ar-SA"/>
        </w:rPr>
        <w:t>包装要求:投标文件的技术资信标、商务（报价）标分别密封于包封袋中，并在封套的封口处加盖投标人单位章，并由法定代表人或其授权代表签字。</w:t>
      </w:r>
    </w:p>
    <w:p>
      <w:pPr>
        <w:rPr>
          <w:rFonts w:hint="eastAsia" w:asciiTheme="minorEastAsia" w:hAnsi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5、</w:t>
      </w:r>
      <w:r>
        <w:rPr>
          <w:rFonts w:hint="eastAsia" w:asciiTheme="minorEastAsia" w:hAnsiTheme="minorEastAsia" w:eastAsiaTheme="minorEastAsia" w:cstheme="minorEastAsia"/>
          <w:kern w:val="2"/>
          <w:sz w:val="24"/>
          <w:szCs w:val="24"/>
          <w:lang w:val="en-US" w:eastAsia="zh-CN" w:bidi="ar-SA"/>
        </w:rPr>
        <w:t>投标方式：接受邮寄和现场投递的纸质投标文件</w:t>
      </w:r>
      <w:r>
        <w:rPr>
          <w:rFonts w:hint="eastAsia" w:asciiTheme="minorEastAsia" w:hAnsiTheme="minorEastAsia" w:cstheme="minorEastAsia"/>
          <w:kern w:val="2"/>
          <w:sz w:val="24"/>
          <w:szCs w:val="24"/>
          <w:lang w:val="en-US" w:eastAsia="zh-CN" w:bidi="ar-SA"/>
        </w:rPr>
        <w:t>/</w:t>
      </w:r>
    </w:p>
    <w:p>
      <w:pP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6、</w:t>
      </w:r>
      <w:r>
        <w:rPr>
          <w:rFonts w:hint="eastAsia" w:asciiTheme="minorEastAsia" w:hAnsiTheme="minorEastAsia" w:eastAsiaTheme="minorEastAsia" w:cstheme="minorEastAsia"/>
          <w:kern w:val="2"/>
          <w:sz w:val="24"/>
          <w:szCs w:val="24"/>
          <w:lang w:val="en-US" w:eastAsia="zh-CN" w:bidi="ar-SA"/>
        </w:rPr>
        <w:t>其他:招标文件一式三份，一正两副加盖公章</w:t>
      </w:r>
    </w:p>
    <w:p>
      <w:pPr>
        <w:pStyle w:val="7"/>
        <w:keepNext w:val="0"/>
        <w:keepLines w:val="0"/>
        <w:widowControl/>
        <w:numPr>
          <w:ilvl w:val="0"/>
          <w:numId w:val="1"/>
        </w:numPr>
        <w:suppressLineNumbers w:val="0"/>
        <w:spacing w:before="255" w:beforeAutospacing="0" w:after="255" w:afterAutospacing="0" w:line="300" w:lineRule="atLeast"/>
        <w:ind w:left="0" w:leftChars="0" w:right="0" w:firstLine="0" w:firstLineChars="0"/>
        <w:jc w:val="both"/>
        <w:rPr>
          <w:rStyle w:val="12"/>
          <w:rFonts w:hint="eastAsia" w:asciiTheme="minorEastAsia" w:hAnsiTheme="minorEastAsia" w:eastAsiaTheme="minorEastAsia" w:cstheme="minorEastAsia"/>
          <w:b/>
          <w:bCs/>
          <w:kern w:val="2"/>
          <w:sz w:val="32"/>
          <w:szCs w:val="32"/>
          <w:lang w:val="en-US" w:eastAsia="zh-CN" w:bidi="ar-SA"/>
        </w:rPr>
      </w:pPr>
      <w:r>
        <w:rPr>
          <w:rStyle w:val="12"/>
          <w:rFonts w:hint="eastAsia" w:asciiTheme="minorEastAsia" w:hAnsiTheme="minorEastAsia" w:eastAsiaTheme="minorEastAsia" w:cstheme="minorEastAsia"/>
          <w:b/>
          <w:bCs/>
          <w:kern w:val="2"/>
          <w:sz w:val="32"/>
          <w:szCs w:val="32"/>
          <w:lang w:val="en-US" w:eastAsia="zh-CN" w:bidi="ar-SA"/>
        </w:rPr>
        <w:t>公告期限 </w:t>
      </w:r>
    </w:p>
    <w:p>
      <w:pPr>
        <w:pStyle w:val="7"/>
        <w:keepNext w:val="0"/>
        <w:keepLines w:val="0"/>
        <w:widowControl/>
        <w:suppressLineNumbers w:val="0"/>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自本公告发布之日起5个工作日。</w:t>
      </w:r>
    </w:p>
    <w:p>
      <w:pPr>
        <w:numPr>
          <w:ilvl w:val="0"/>
          <w:numId w:val="1"/>
        </w:numPr>
        <w:ind w:left="0" w:leftChars="0" w:firstLine="0" w:firstLineChars="0"/>
        <w:jc w:val="both"/>
        <w:rPr>
          <w:rFonts w:hint="eastAsia" w:asciiTheme="minorEastAsia" w:hAnsiTheme="minorEastAsia" w:eastAsiaTheme="minorEastAsia" w:cstheme="minorEastAsia"/>
          <w:b/>
          <w:bCs/>
          <w:sz w:val="28"/>
          <w:szCs w:val="28"/>
        </w:rPr>
      </w:pPr>
      <w:r>
        <w:rPr>
          <w:rStyle w:val="12"/>
          <w:rFonts w:hint="eastAsia" w:asciiTheme="minorEastAsia" w:hAnsiTheme="minorEastAsia" w:eastAsiaTheme="minorEastAsia" w:cstheme="minorEastAsia"/>
          <w:b/>
          <w:bCs/>
          <w:kern w:val="2"/>
          <w:sz w:val="32"/>
          <w:szCs w:val="32"/>
          <w:lang w:val="en-US" w:eastAsia="zh-CN" w:bidi="ar-SA"/>
        </w:rPr>
        <w:t>投标文件编制要求</w:t>
      </w:r>
    </w:p>
    <w:p>
      <w:pPr>
        <w:snapToGrid w:val="0"/>
        <w:spacing w:line="360" w:lineRule="auto"/>
        <w:ind w:firstLine="417" w:firstLineChars="174"/>
        <w:jc w:val="left"/>
        <w:outlineLvl w:val="2"/>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（一）投标文件的组成</w:t>
      </w:r>
    </w:p>
    <w:p>
      <w:pPr>
        <w:snapToGrid w:val="0"/>
        <w:spacing w:line="360" w:lineRule="auto"/>
        <w:ind w:firstLine="480" w:firstLineChars="200"/>
        <w:jc w:val="left"/>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投标文件由资格证明文件、商务技术文件和报价文件三部份组成</w:t>
      </w:r>
      <w:r>
        <w:rPr>
          <w:rFonts w:hint="eastAsia" w:asciiTheme="minorEastAsia" w:hAnsiTheme="minorEastAsia" w:eastAsiaTheme="minorEastAsia" w:cstheme="minorEastAsia"/>
          <w:b w:val="0"/>
          <w:bCs/>
          <w:sz w:val="24"/>
          <w:szCs w:val="24"/>
          <w:lang w:eastAsia="zh-CN"/>
        </w:rPr>
        <w:t>。</w:t>
      </w:r>
    </w:p>
    <w:p>
      <w:pPr>
        <w:snapToGrid w:val="0"/>
        <w:spacing w:before="120" w:beforeLines="50" w:line="360" w:lineRule="auto"/>
        <w:ind w:firstLine="470" w:firstLineChars="196"/>
        <w:jc w:val="left"/>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1.资格证明文件：</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sz w:val="24"/>
          <w:szCs w:val="24"/>
        </w:rPr>
        <w:t>▲</w:t>
      </w:r>
      <w:r>
        <w:rPr>
          <w:rFonts w:hint="eastAsia" w:asciiTheme="minorEastAsia" w:hAnsiTheme="minorEastAsia" w:eastAsiaTheme="minorEastAsia" w:cstheme="minorEastAsia"/>
          <w:sz w:val="24"/>
          <w:szCs w:val="24"/>
        </w:rPr>
        <w:t>（1）投标人资格承诺函；</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sz w:val="24"/>
          <w:szCs w:val="24"/>
        </w:rPr>
        <w:t>▲</w:t>
      </w:r>
      <w:r>
        <w:rPr>
          <w:rFonts w:hint="eastAsia" w:asciiTheme="minorEastAsia" w:hAnsiTheme="minorEastAsia" w:eastAsiaTheme="minorEastAsia" w:cstheme="minorEastAsia"/>
          <w:sz w:val="24"/>
          <w:szCs w:val="24"/>
        </w:rPr>
        <w:t>（2）法人或者其他组织投标的提供营业执照等证明文件，自然人投标的提供身份证明；</w:t>
      </w:r>
    </w:p>
    <w:p>
      <w:pPr>
        <w:snapToGrid w:val="0"/>
        <w:spacing w:before="120" w:beforeLines="50" w:line="360" w:lineRule="auto"/>
        <w:ind w:firstLine="470" w:firstLineChars="196"/>
        <w:jc w:val="left"/>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2. 商务技术文件：</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sz w:val="24"/>
          <w:szCs w:val="24"/>
        </w:rPr>
        <w:t>▲</w:t>
      </w:r>
      <w:r>
        <w:rPr>
          <w:rFonts w:hint="eastAsia" w:asciiTheme="minorEastAsia" w:hAnsiTheme="minorEastAsia" w:eastAsiaTheme="minorEastAsia" w:cstheme="minorEastAsia"/>
          <w:sz w:val="24"/>
          <w:szCs w:val="24"/>
        </w:rPr>
        <w:t>（1）投标人营业执照；</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sz w:val="24"/>
          <w:szCs w:val="24"/>
        </w:rPr>
        <w:t>▲</w:t>
      </w:r>
      <w:r>
        <w:rPr>
          <w:rFonts w:hint="eastAsia" w:asciiTheme="minorEastAsia" w:hAnsiTheme="minorEastAsia" w:eastAsiaTheme="minorEastAsia" w:cstheme="minorEastAsia"/>
          <w:sz w:val="24"/>
          <w:szCs w:val="24"/>
        </w:rPr>
        <w:t>（2）投标人为医疗器械生产企业的：第二类、第三类医疗器械生产企业提供《医疗器械生产许可证》、第一类医疗器械生产企业提供第一类医疗器械生产备案凭证；</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投标人为医疗器械经营企业的：第三类医疗器械经营企业提供《医疗器械经营许可证》、第二类医疗器械经营企业提供第二类医疗器械经营备案凭证；</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且投标人经备案或许可的经营范围必须包含本次投标的所有医疗器械；</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sz w:val="24"/>
          <w:szCs w:val="24"/>
        </w:rPr>
        <w:t>▲</w:t>
      </w:r>
      <w:r>
        <w:rPr>
          <w:rFonts w:hint="eastAsia" w:asciiTheme="minorEastAsia" w:hAnsiTheme="minorEastAsia" w:eastAsiaTheme="minorEastAsia" w:cstheme="minorEastAsia"/>
          <w:sz w:val="24"/>
          <w:szCs w:val="24"/>
        </w:rPr>
        <w:t>（3）提供食品药品监督管理部门核发的完整有效的医疗器械注册或备案证明；</w:t>
      </w:r>
    </w:p>
    <w:p>
      <w:pPr>
        <w:snapToGrid w:val="0"/>
        <w:spacing w:line="360" w:lineRule="auto"/>
        <w:ind w:firstLine="470" w:firstLineChars="196"/>
        <w:jc w:val="left"/>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▲（4）货物制造商或其它有销售资格（提供证明材料）的供应商出具的授权书（适用于投标人是进口货物代理商的情形）；</w:t>
      </w:r>
    </w:p>
    <w:p>
      <w:pPr>
        <w:snapToGrid w:val="0"/>
        <w:spacing w:line="360" w:lineRule="auto"/>
        <w:ind w:firstLine="470" w:firstLineChars="196"/>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bCs/>
          <w:sz w:val="24"/>
          <w:szCs w:val="24"/>
        </w:rPr>
        <w:t>▲</w:t>
      </w:r>
      <w:r>
        <w:rPr>
          <w:rFonts w:hint="eastAsia" w:asciiTheme="minorEastAsia" w:hAnsiTheme="minorEastAsia" w:eastAsiaTheme="minorEastAsia" w:cstheme="minorEastAsia"/>
          <w:kern w:val="0"/>
          <w:sz w:val="24"/>
          <w:szCs w:val="24"/>
        </w:rPr>
        <w:t>（5）投标声明函</w:t>
      </w:r>
      <w:r>
        <w:rPr>
          <w:rFonts w:hint="eastAsia" w:asciiTheme="minorEastAsia" w:hAnsiTheme="minorEastAsia" w:eastAsiaTheme="minorEastAsia" w:cstheme="minorEastAsia"/>
          <w:sz w:val="24"/>
          <w:szCs w:val="24"/>
        </w:rPr>
        <w:t>；</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（6）投标产品一览表</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（7）技术响应表；</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（8）合同条款响应承诺</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（9）设备配置清单；</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（10）消耗品或易耗品价格； </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（11）售后服务承诺书</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（12）业绩证明</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（13）投标人建议的安装、调试、验收方法或方案；</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（14）技术服务、技术培训的内容和措施；</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（15）项目实施人员一览表</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（16）维修能力（详见评分标准要求）；</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（17）投标机型的彩页和原厂技术参数；</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18</w:t>
      </w:r>
      <w:r>
        <w:rPr>
          <w:rFonts w:hint="eastAsia" w:asciiTheme="minorEastAsia" w:hAnsiTheme="minorEastAsia" w:eastAsiaTheme="minorEastAsia" w:cstheme="minorEastAsia"/>
          <w:sz w:val="24"/>
          <w:szCs w:val="24"/>
        </w:rPr>
        <w:t>）节能产品的相关证明材料：投标产品列入财政部、发展改革委发布的节能产品品目清单的，提供国家市场监督管理总局公布的《参与实施政府采购节能产品认证机构名录》内的认证机构出具的、处于有效期之内的节能标志产品认证证书；</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19</w:t>
      </w:r>
      <w:r>
        <w:rPr>
          <w:rFonts w:hint="eastAsia" w:asciiTheme="minorEastAsia" w:hAnsiTheme="minorEastAsia" w:eastAsiaTheme="minorEastAsia" w:cstheme="minorEastAsia"/>
          <w:sz w:val="24"/>
          <w:szCs w:val="24"/>
        </w:rPr>
        <w:t>）环境标志产品的相关证明材料：投标产品列入财政部、生态环境部发布的环境标志产品品目清单的，提供国家市场监督管理总局公布的《参与实施政府采购环境标志产品认证机构名录》内的认证机构出具的、处于有效期之内的环境标志产品认证证书；</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）评分方法中的评审证明文件等；</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）投标人认为需要提供的其他文件。</w:t>
      </w:r>
    </w:p>
    <w:p>
      <w:pPr>
        <w:snapToGrid w:val="0"/>
        <w:spacing w:line="360" w:lineRule="auto"/>
        <w:ind w:firstLine="472" w:firstLineChars="196"/>
        <w:jc w:val="left"/>
        <w:rPr>
          <w:rFonts w:hint="eastAsia" w:asciiTheme="minorEastAsia" w:hAnsiTheme="minorEastAsia" w:eastAsiaTheme="minorEastAsia" w:cstheme="minorEastAsia"/>
          <w:b/>
          <w:sz w:val="24"/>
          <w:szCs w:val="24"/>
        </w:rPr>
      </w:pPr>
    </w:p>
    <w:p>
      <w:pPr>
        <w:snapToGrid w:val="0"/>
        <w:spacing w:line="360" w:lineRule="auto"/>
        <w:ind w:firstLine="470" w:firstLineChars="196"/>
        <w:jc w:val="left"/>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3.报价文件：</w:t>
      </w:r>
    </w:p>
    <w:p>
      <w:pPr>
        <w:snapToGrid w:val="0"/>
        <w:spacing w:line="360" w:lineRule="auto"/>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（1）开标一览表；</w:t>
      </w:r>
    </w:p>
    <w:p>
      <w:pPr>
        <w:snapToGrid w:val="0"/>
        <w:spacing w:line="360" w:lineRule="auto"/>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（2）投标报价明细表；</w:t>
      </w:r>
    </w:p>
    <w:p>
      <w:pPr>
        <w:snapToGrid w:val="0"/>
        <w:spacing w:line="360" w:lineRule="auto"/>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（3）投标人针对报价需要说明的其他文件和说明（如有）；</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（4）中小企业的相关证明材料（如有</w:t>
      </w:r>
      <w:r>
        <w:rPr>
          <w:rFonts w:hint="eastAsia" w:asciiTheme="minorEastAsia" w:hAnsiTheme="minorEastAsia" w:eastAsiaTheme="minorEastAsia" w:cstheme="minorEastAsia"/>
          <w:kern w:val="0"/>
          <w:sz w:val="24"/>
          <w:szCs w:val="24"/>
        </w:rPr>
        <w:t>）；</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（5）残疾人福利性单位声明函(如有）；</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（6）由省级以上监狱管理局、戒毒管理局（含新疆生产建设兵团）出具的属于监狱企业的证明文件（如有）。</w:t>
      </w:r>
    </w:p>
    <w:p>
      <w:pPr>
        <w:pStyle w:val="7"/>
        <w:keepNext w:val="0"/>
        <w:keepLines w:val="0"/>
        <w:widowControl/>
        <w:numPr>
          <w:ilvl w:val="0"/>
          <w:numId w:val="1"/>
        </w:numPr>
        <w:suppressLineNumbers w:val="0"/>
        <w:spacing w:before="255" w:beforeAutospacing="0" w:after="255" w:afterAutospacing="0" w:line="300" w:lineRule="atLeast"/>
        <w:ind w:left="0" w:leftChars="0" w:right="0" w:firstLine="0" w:firstLineChars="0"/>
        <w:jc w:val="both"/>
        <w:rPr>
          <w:rStyle w:val="12"/>
          <w:rFonts w:hint="eastAsia" w:asciiTheme="minorEastAsia" w:hAnsiTheme="minorEastAsia" w:eastAsiaTheme="minorEastAsia" w:cstheme="minorEastAsia"/>
          <w:b/>
          <w:bCs/>
          <w:kern w:val="2"/>
          <w:sz w:val="32"/>
          <w:szCs w:val="32"/>
          <w:lang w:val="en-US" w:eastAsia="zh-CN" w:bidi="ar-SA"/>
        </w:rPr>
      </w:pPr>
      <w:r>
        <w:rPr>
          <w:rStyle w:val="12"/>
          <w:rFonts w:hint="eastAsia" w:asciiTheme="minorEastAsia" w:hAnsiTheme="minorEastAsia" w:eastAsiaTheme="minorEastAsia" w:cstheme="minorEastAsia"/>
          <w:b/>
          <w:bCs/>
          <w:kern w:val="2"/>
          <w:sz w:val="32"/>
          <w:szCs w:val="32"/>
          <w:lang w:val="en-US" w:eastAsia="zh-CN" w:bidi="ar-SA"/>
        </w:rPr>
        <w:t>商务、技术参数偏离表</w:t>
      </w:r>
    </w:p>
    <w:p>
      <w:pPr>
        <w:snapToGrid w:val="0"/>
        <w:spacing w:line="360" w:lineRule="auto"/>
        <w:jc w:val="left"/>
        <w:rPr>
          <w:rFonts w:hint="eastAsia" w:asciiTheme="minorEastAsia" w:hAnsiTheme="minorEastAsia" w:eastAsiaTheme="minorEastAsia" w:cstheme="minorEastAsia"/>
          <w:sz w:val="24"/>
          <w:szCs w:val="24"/>
        </w:rPr>
      </w:pPr>
    </w:p>
    <w:tbl>
      <w:tblPr>
        <w:tblStyle w:val="10"/>
        <w:tblpPr w:leftFromText="180" w:rightFromText="180" w:vertAnchor="page" w:horzAnchor="page" w:tblpX="1425" w:tblpY="6613"/>
        <w:tblOverlap w:val="never"/>
        <w:tblW w:w="512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7260"/>
        <w:gridCol w:w="14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24" w:type="pct"/>
            <w:noWrap w:val="0"/>
            <w:vAlign w:val="top"/>
          </w:tcPr>
          <w:p>
            <w:pPr>
              <w:rPr>
                <w:rFonts w:hint="eastAsia" w:ascii="宋体" w:hAnsi="宋体" w:eastAsia="宋体" w:cs="宋体"/>
                <w:sz w:val="24"/>
                <w:szCs w:val="24"/>
              </w:rPr>
            </w:pPr>
            <w:r>
              <w:rPr>
                <w:rFonts w:hint="eastAsia" w:ascii="宋体" w:hAnsi="宋体" w:eastAsia="宋体" w:cs="宋体"/>
                <w:sz w:val="24"/>
                <w:szCs w:val="24"/>
              </w:rPr>
              <w:t>序号</w:t>
            </w:r>
          </w:p>
        </w:tc>
        <w:tc>
          <w:tcPr>
            <w:tcW w:w="3816" w:type="pct"/>
            <w:noWrap w:val="0"/>
            <w:vAlign w:val="top"/>
          </w:tcPr>
          <w:p>
            <w:pPr>
              <w:rPr>
                <w:rFonts w:hint="eastAsia" w:ascii="宋体" w:hAnsi="宋体" w:eastAsia="宋体" w:cs="宋体"/>
                <w:b/>
                <w:kern w:val="0"/>
                <w:sz w:val="24"/>
                <w:szCs w:val="24"/>
                <w:lang w:val="en-US" w:eastAsia="zh-CN"/>
              </w:rPr>
            </w:pPr>
            <w:r>
              <w:rPr>
                <w:rFonts w:hint="eastAsia" w:ascii="宋体" w:hAnsi="宋体" w:eastAsia="宋体" w:cs="宋体"/>
                <w:b/>
                <w:kern w:val="0"/>
                <w:sz w:val="24"/>
                <w:szCs w:val="24"/>
                <w:lang w:val="en-US" w:eastAsia="zh-CN"/>
              </w:rPr>
              <w:t xml:space="preserve">                 商务、技术参数要求</w:t>
            </w:r>
          </w:p>
        </w:tc>
        <w:tc>
          <w:tcPr>
            <w:tcW w:w="758" w:type="pct"/>
            <w:noWrap w:val="0"/>
            <w:vAlign w:val="top"/>
          </w:tcPr>
          <w:p>
            <w:pPr>
              <w:rPr>
                <w:rFonts w:hint="eastAsia" w:ascii="宋体" w:hAnsi="宋体" w:eastAsia="宋体" w:cs="宋体"/>
                <w:b/>
                <w:kern w:val="0"/>
                <w:sz w:val="24"/>
                <w:szCs w:val="24"/>
                <w:lang w:val="en-US" w:eastAsia="zh-CN"/>
              </w:rPr>
            </w:pPr>
            <w:r>
              <w:rPr>
                <w:rFonts w:hint="eastAsia" w:ascii="宋体" w:hAnsi="宋体" w:eastAsia="宋体" w:cs="宋体"/>
                <w:kern w:val="0"/>
                <w:sz w:val="24"/>
                <w:szCs w:val="24"/>
                <w:lang w:val="en-US" w:eastAsia="zh-CN"/>
              </w:rPr>
              <w:t>投标响应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4" w:type="pct"/>
            <w:noWrap w:val="0"/>
            <w:vAlign w:val="center"/>
          </w:tcPr>
          <w:p>
            <w:pPr>
              <w:keepNext w:val="0"/>
              <w:keepLines w:val="0"/>
              <w:widowControl/>
              <w:suppressLineNumbers w:val="0"/>
              <w:jc w:val="both"/>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一</w:t>
            </w:r>
          </w:p>
        </w:tc>
        <w:tc>
          <w:tcPr>
            <w:tcW w:w="3816" w:type="pct"/>
            <w:noWrap w:val="0"/>
            <w:vAlign w:val="top"/>
          </w:tcPr>
          <w:p>
            <w:pPr>
              <w:keepNext w:val="0"/>
              <w:keepLines w:val="0"/>
              <w:widowControl/>
              <w:suppressLineNumbers w:val="0"/>
              <w:jc w:val="both"/>
              <w:textAlignment w:val="top"/>
              <w:rPr>
                <w:rFonts w:hint="eastAsia" w:ascii="宋体" w:hAnsi="宋体" w:eastAsia="宋体" w:cs="宋体"/>
                <w:b/>
                <w:kern w:val="2"/>
                <w:sz w:val="24"/>
                <w:szCs w:val="24"/>
                <w:lang w:val="en-US" w:eastAsia="zh-CN" w:bidi="ar-SA"/>
              </w:rPr>
            </w:pPr>
            <w:r>
              <w:rPr>
                <w:rFonts w:hint="eastAsia" w:ascii="宋体" w:hAnsi="宋体" w:eastAsia="宋体" w:cs="宋体"/>
                <w:b/>
                <w:bCs/>
                <w:i w:val="0"/>
                <w:iCs w:val="0"/>
                <w:color w:val="000000"/>
                <w:kern w:val="0"/>
                <w:sz w:val="24"/>
                <w:szCs w:val="24"/>
                <w:u w:val="none"/>
                <w:lang w:val="en-US" w:eastAsia="zh-CN" w:bidi="ar"/>
              </w:rPr>
              <w:t>总体要求</w:t>
            </w:r>
          </w:p>
        </w:tc>
        <w:tc>
          <w:tcPr>
            <w:tcW w:w="758" w:type="pct"/>
            <w:noWrap w:val="0"/>
            <w:vAlign w:val="top"/>
          </w:tcPr>
          <w:p>
            <w:pPr>
              <w:jc w:val="both"/>
              <w:rPr>
                <w:rFonts w:hint="eastAsia" w:ascii="宋体" w:hAnsi="宋体" w:eastAsia="宋体" w:cs="宋体"/>
                <w:b/>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24" w:type="pct"/>
            <w:noWrap w:val="0"/>
            <w:vAlign w:val="center"/>
          </w:tcPr>
          <w:p>
            <w:pPr>
              <w:keepNext w:val="0"/>
              <w:keepLines w:val="0"/>
              <w:widowControl/>
              <w:suppressLineNumbers w:val="0"/>
              <w:jc w:val="both"/>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1.1</w:t>
            </w:r>
          </w:p>
        </w:tc>
        <w:tc>
          <w:tcPr>
            <w:tcW w:w="3816" w:type="pct"/>
            <w:noWrap w:val="0"/>
            <w:vAlign w:val="top"/>
          </w:tcPr>
          <w:p>
            <w:pPr>
              <w:keepNext w:val="0"/>
              <w:keepLines w:val="0"/>
              <w:widowControl/>
              <w:suppressLineNumbers w:val="0"/>
              <w:jc w:val="both"/>
              <w:textAlignment w:val="top"/>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cs="宋体"/>
                <w:b w:val="0"/>
                <w:bCs w:val="0"/>
                <w:i w:val="0"/>
                <w:iCs w:val="0"/>
                <w:color w:val="auto"/>
                <w:kern w:val="0"/>
                <w:sz w:val="24"/>
                <w:szCs w:val="24"/>
                <w:u w:val="none"/>
                <w:lang w:val="en-US" w:eastAsia="zh-CN" w:bidi="ar"/>
              </w:rPr>
              <w:t>采购体外膈肌起搏器3台</w:t>
            </w:r>
          </w:p>
        </w:tc>
        <w:tc>
          <w:tcPr>
            <w:tcW w:w="758" w:type="pct"/>
            <w:noWrap w:val="0"/>
            <w:vAlign w:val="top"/>
          </w:tcPr>
          <w:p>
            <w:pPr>
              <w:jc w:val="both"/>
              <w:rPr>
                <w:rFonts w:hint="eastAsia" w:ascii="宋体" w:hAnsi="宋体" w:eastAsia="宋体" w:cs="宋体"/>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1.2</w:t>
            </w:r>
          </w:p>
        </w:tc>
        <w:tc>
          <w:tcPr>
            <w:tcW w:w="3816" w:type="pct"/>
            <w:noWrap w:val="0"/>
            <w:vAlign w:val="top"/>
          </w:tcPr>
          <w:p>
            <w:pPr>
              <w:keepNext w:val="0"/>
              <w:keepLines w:val="0"/>
              <w:widowControl/>
              <w:suppressLineNumbers w:val="0"/>
              <w:jc w:val="left"/>
              <w:textAlignment w:val="top"/>
              <w:rPr>
                <w:rFonts w:hint="eastAsia" w:ascii="宋体" w:hAnsi="宋体" w:eastAsia="宋体" w:cs="宋体"/>
                <w:sz w:val="24"/>
                <w:szCs w:val="24"/>
              </w:rPr>
            </w:pPr>
            <w:r>
              <w:rPr>
                <w:rFonts w:hint="eastAsia" w:ascii="宋体" w:hAnsi="宋体" w:eastAsia="宋体" w:cs="宋体"/>
                <w:i w:val="0"/>
                <w:iCs w:val="0"/>
                <w:color w:val="000000"/>
                <w:kern w:val="0"/>
                <w:sz w:val="24"/>
                <w:szCs w:val="24"/>
                <w:highlight w:val="none"/>
                <w:u w:val="none"/>
                <w:lang w:val="en-US" w:eastAsia="zh-CN" w:bidi="ar"/>
              </w:rPr>
              <w:t>设备用途：</w:t>
            </w:r>
            <w:r>
              <w:rPr>
                <w:rFonts w:hint="eastAsia" w:ascii="宋体" w:hAnsi="宋体"/>
                <w:sz w:val="24"/>
                <w:szCs w:val="24"/>
              </w:rPr>
              <w:t>通过功能性电刺激膈神经引起膈肌收缩，达到改善通气的目的</w:t>
            </w:r>
            <w:r>
              <w:rPr>
                <w:rFonts w:hint="eastAsia" w:ascii="宋体" w:hAnsi="宋体"/>
                <w:sz w:val="24"/>
                <w:szCs w:val="24"/>
                <w:lang w:val="en-US" w:eastAsia="zh-CN"/>
              </w:rPr>
              <w:t>,用于慢性阻塞性肺疾病引发的气短或呼吸困难、慢性咳嗽、咳痰、喘息症状的辅助治疗</w:t>
            </w:r>
          </w:p>
        </w:tc>
        <w:tc>
          <w:tcPr>
            <w:tcW w:w="758" w:type="pct"/>
            <w:noWrap w:val="0"/>
            <w:vAlign w:val="top"/>
          </w:tcPr>
          <w:p>
            <w:pPr>
              <w:jc w:val="center"/>
              <w:rPr>
                <w:rFonts w:hint="eastAsia" w:ascii="宋体" w:hAnsi="宋体" w:eastAsia="宋体" w:cs="宋体"/>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24" w:type="pct"/>
            <w:noWrap w:val="0"/>
            <w:vAlign w:val="center"/>
          </w:tcPr>
          <w:p>
            <w:pPr>
              <w:keepNext w:val="0"/>
              <w:keepLines w:val="0"/>
              <w:widowControl/>
              <w:suppressLineNumbers w:val="0"/>
              <w:jc w:val="both"/>
              <w:textAlignment w:val="center"/>
              <w:rPr>
                <w:rFonts w:hint="eastAsia" w:ascii="宋体" w:hAnsi="宋体" w:eastAsia="宋体" w:cs="宋体"/>
                <w:sz w:val="24"/>
                <w:szCs w:val="24"/>
              </w:rPr>
            </w:pPr>
            <w:r>
              <w:rPr>
                <w:rFonts w:hint="eastAsia" w:ascii="宋体" w:hAnsi="宋体" w:eastAsia="宋体" w:cs="宋体"/>
                <w:i w:val="0"/>
                <w:iCs w:val="0"/>
                <w:color w:val="000000"/>
                <w:kern w:val="0"/>
                <w:sz w:val="24"/>
                <w:szCs w:val="24"/>
                <w:u w:val="none"/>
                <w:lang w:val="en-US" w:eastAsia="zh-CN" w:bidi="ar"/>
              </w:rPr>
              <w:t>二</w:t>
            </w:r>
          </w:p>
        </w:tc>
        <w:tc>
          <w:tcPr>
            <w:tcW w:w="3816" w:type="pct"/>
            <w:noWrap w:val="0"/>
            <w:vAlign w:val="top"/>
          </w:tcPr>
          <w:p>
            <w:pPr>
              <w:keepNext w:val="0"/>
              <w:keepLines w:val="0"/>
              <w:widowControl/>
              <w:suppressLineNumbers w:val="0"/>
              <w:jc w:val="both"/>
              <w:textAlignment w:val="top"/>
              <w:rPr>
                <w:rFonts w:hint="eastAsia" w:ascii="宋体" w:hAnsi="宋体" w:eastAsia="宋体" w:cs="宋体"/>
                <w:sz w:val="24"/>
                <w:szCs w:val="24"/>
              </w:rPr>
            </w:pPr>
            <w:r>
              <w:rPr>
                <w:rFonts w:hint="eastAsia" w:ascii="宋体" w:hAnsi="宋体" w:eastAsia="宋体" w:cs="宋体"/>
                <w:b/>
                <w:bCs/>
                <w:i w:val="0"/>
                <w:iCs w:val="0"/>
                <w:color w:val="000000"/>
                <w:kern w:val="0"/>
                <w:sz w:val="24"/>
                <w:szCs w:val="24"/>
                <w:u w:val="none"/>
                <w:lang w:val="en-US" w:eastAsia="zh-CN" w:bidi="ar"/>
              </w:rPr>
              <w:t>主要功能要求与技术参数</w:t>
            </w:r>
          </w:p>
        </w:tc>
        <w:tc>
          <w:tcPr>
            <w:tcW w:w="758" w:type="pct"/>
            <w:noWrap w:val="0"/>
            <w:vAlign w:val="center"/>
          </w:tcPr>
          <w:p>
            <w:pPr>
              <w:jc w:val="center"/>
              <w:rPr>
                <w:rFonts w:hint="eastAsia" w:ascii="宋体" w:hAnsi="宋体" w:eastAsia="宋体" w:cs="宋体"/>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2.1</w:t>
            </w:r>
          </w:p>
        </w:tc>
        <w:tc>
          <w:tcPr>
            <w:tcW w:w="3816" w:type="pct"/>
            <w:noWrap w:val="0"/>
            <w:vAlign w:val="top"/>
          </w:tcPr>
          <w:p>
            <w:pPr>
              <w:keepNext w:val="0"/>
              <w:keepLines w:val="0"/>
              <w:widowControl/>
              <w:suppressLineNumbers w:val="0"/>
              <w:jc w:val="left"/>
              <w:textAlignment w:val="top"/>
              <w:rPr>
                <w:rFonts w:hint="eastAsia" w:ascii="宋体" w:hAnsi="宋体"/>
                <w:sz w:val="24"/>
                <w:szCs w:val="24"/>
                <w:lang w:val="en-US" w:eastAsia="zh-CN"/>
              </w:rPr>
            </w:pPr>
            <w:r>
              <w:rPr>
                <w:rFonts w:hint="eastAsia" w:ascii="宋体" w:hAnsi="宋体"/>
                <w:sz w:val="24"/>
                <w:szCs w:val="24"/>
                <w:lang w:val="en-US" w:eastAsia="zh-CN"/>
              </w:rPr>
              <w:t>脉冲频率：可调单频，30Hz、35 Hz、40 Hz、45 Hz、50Hz，可选择，默认标准状态40Hz</w:t>
            </w:r>
          </w:p>
        </w:tc>
        <w:tc>
          <w:tcPr>
            <w:tcW w:w="758" w:type="pct"/>
            <w:noWrap w:val="0"/>
            <w:vAlign w:val="top"/>
          </w:tcPr>
          <w:p>
            <w:pPr>
              <w:jc w:val="center"/>
              <w:rPr>
                <w:rFonts w:hint="eastAsia" w:ascii="宋体" w:hAnsi="宋体" w:eastAsia="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2.2</w:t>
            </w:r>
          </w:p>
        </w:tc>
        <w:tc>
          <w:tcPr>
            <w:tcW w:w="3816" w:type="pct"/>
            <w:noWrap w:val="0"/>
            <w:vAlign w:val="top"/>
          </w:tcPr>
          <w:p>
            <w:pPr>
              <w:pStyle w:val="4"/>
              <w:numPr>
                <w:ilvl w:val="0"/>
                <w:numId w:val="0"/>
              </w:numPr>
              <w:ind w:leftChars="0"/>
              <w:rPr>
                <w:rFonts w:hint="eastAsia" w:ascii="宋体" w:hAnsi="宋体" w:eastAsiaTheme="minorEastAsia" w:cstheme="minorBidi"/>
                <w:kern w:val="2"/>
                <w:sz w:val="24"/>
                <w:szCs w:val="24"/>
                <w:lang w:val="en-US" w:eastAsia="zh-CN" w:bidi="ar-SA"/>
              </w:rPr>
            </w:pPr>
            <w:r>
              <w:rPr>
                <w:rFonts w:hint="eastAsia" w:ascii="宋体" w:hAnsi="宋体" w:eastAsiaTheme="minorEastAsia" w:cstheme="minorBidi"/>
                <w:kern w:val="2"/>
                <w:sz w:val="24"/>
                <w:szCs w:val="24"/>
                <w:lang w:val="en-US" w:eastAsia="zh-CN" w:bidi="ar-SA"/>
              </w:rPr>
              <w:t>★脉冲宽度：200us；</w:t>
            </w:r>
          </w:p>
        </w:tc>
        <w:tc>
          <w:tcPr>
            <w:tcW w:w="758" w:type="pct"/>
            <w:noWrap w:val="0"/>
            <w:vAlign w:val="top"/>
          </w:tcPr>
          <w:p>
            <w:pPr>
              <w:jc w:val="center"/>
              <w:rPr>
                <w:rFonts w:hint="eastAsia" w:ascii="宋体" w:hAnsi="宋体" w:eastAsia="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2.3</w:t>
            </w:r>
          </w:p>
        </w:tc>
        <w:tc>
          <w:tcPr>
            <w:tcW w:w="3816" w:type="pct"/>
            <w:noWrap w:val="0"/>
            <w:vAlign w:val="top"/>
          </w:tcPr>
          <w:p>
            <w:pPr>
              <w:pStyle w:val="4"/>
              <w:numPr>
                <w:ilvl w:val="0"/>
                <w:numId w:val="0"/>
              </w:numPr>
              <w:ind w:leftChars="0"/>
              <w:rPr>
                <w:rFonts w:hint="eastAsia" w:ascii="宋体" w:hAnsi="宋体" w:eastAsiaTheme="minorEastAsia" w:cstheme="minorBidi"/>
                <w:kern w:val="2"/>
                <w:sz w:val="24"/>
                <w:szCs w:val="24"/>
                <w:lang w:val="en-US" w:eastAsia="zh-CN" w:bidi="ar-SA"/>
              </w:rPr>
            </w:pPr>
            <w:r>
              <w:rPr>
                <w:rFonts w:hint="eastAsia" w:ascii="宋体" w:hAnsi="宋体" w:eastAsiaTheme="minorEastAsia" w:cstheme="minorBidi"/>
                <w:kern w:val="2"/>
                <w:sz w:val="24"/>
                <w:szCs w:val="24"/>
                <w:lang w:val="en-US" w:eastAsia="zh-CN" w:bidi="ar-SA"/>
              </w:rPr>
              <w:t>★起搏次数：5、6、7、8、9、10、11、12、13、14、15次/分钟，可选择，默认标准状态9次/分钟；</w:t>
            </w:r>
          </w:p>
          <w:p>
            <w:pPr>
              <w:keepNext w:val="0"/>
              <w:keepLines w:val="0"/>
              <w:widowControl/>
              <w:suppressLineNumbers w:val="0"/>
              <w:jc w:val="left"/>
              <w:textAlignment w:val="top"/>
              <w:rPr>
                <w:rFonts w:hint="eastAsia" w:ascii="宋体" w:hAnsi="宋体" w:eastAsiaTheme="minorEastAsia" w:cstheme="minorBidi"/>
                <w:kern w:val="2"/>
                <w:sz w:val="24"/>
                <w:szCs w:val="24"/>
                <w:lang w:val="en-US" w:eastAsia="zh-CN" w:bidi="ar-SA"/>
              </w:rPr>
            </w:pPr>
          </w:p>
        </w:tc>
        <w:tc>
          <w:tcPr>
            <w:tcW w:w="758" w:type="pct"/>
            <w:noWrap w:val="0"/>
            <w:vAlign w:val="top"/>
          </w:tcPr>
          <w:p>
            <w:pPr>
              <w:jc w:val="center"/>
              <w:rPr>
                <w:rFonts w:hint="eastAsia" w:ascii="宋体" w:hAnsi="宋体" w:eastAsia="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2.4</w:t>
            </w:r>
          </w:p>
        </w:tc>
        <w:tc>
          <w:tcPr>
            <w:tcW w:w="3816" w:type="pct"/>
            <w:noWrap w:val="0"/>
            <w:vAlign w:val="top"/>
          </w:tcPr>
          <w:p>
            <w:pPr>
              <w:pStyle w:val="4"/>
              <w:numPr>
                <w:ilvl w:val="0"/>
                <w:numId w:val="0"/>
              </w:numPr>
              <w:ind w:leftChars="0"/>
              <w:rPr>
                <w:rFonts w:hint="eastAsia" w:ascii="宋体" w:hAnsi="宋体" w:eastAsiaTheme="minorEastAsia" w:cstheme="minorBidi"/>
                <w:kern w:val="2"/>
                <w:sz w:val="24"/>
                <w:szCs w:val="24"/>
                <w:lang w:val="en-US" w:eastAsia="zh-CN" w:bidi="ar-SA"/>
              </w:rPr>
            </w:pPr>
            <w:r>
              <w:rPr>
                <w:rFonts w:hint="eastAsia" w:ascii="宋体" w:hAnsi="宋体" w:eastAsiaTheme="minorEastAsia" w:cstheme="minorBidi"/>
                <w:kern w:val="2"/>
                <w:sz w:val="24"/>
                <w:szCs w:val="24"/>
                <w:lang w:val="en-US" w:eastAsia="zh-CN" w:bidi="ar-SA"/>
              </w:rPr>
              <w:t>刺激强度（输出脉冲幅度）：0～30单位，可调节；</w:t>
            </w:r>
          </w:p>
          <w:p>
            <w:pPr>
              <w:keepNext w:val="0"/>
              <w:keepLines w:val="0"/>
              <w:widowControl/>
              <w:suppressLineNumbers w:val="0"/>
              <w:jc w:val="left"/>
              <w:textAlignment w:val="top"/>
              <w:rPr>
                <w:rFonts w:hint="eastAsia" w:ascii="宋体" w:hAnsi="宋体" w:eastAsiaTheme="minorEastAsia" w:cstheme="minorBidi"/>
                <w:kern w:val="2"/>
                <w:sz w:val="24"/>
                <w:szCs w:val="24"/>
                <w:lang w:val="en-US" w:eastAsia="zh-CN" w:bidi="ar-SA"/>
              </w:rPr>
            </w:pPr>
          </w:p>
        </w:tc>
        <w:tc>
          <w:tcPr>
            <w:tcW w:w="758" w:type="pct"/>
            <w:noWrap w:val="0"/>
            <w:vAlign w:val="top"/>
          </w:tcPr>
          <w:p>
            <w:pPr>
              <w:jc w:val="center"/>
              <w:rPr>
                <w:rFonts w:hint="eastAsia" w:ascii="宋体" w:hAnsi="宋体" w:eastAsia="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2.5</w:t>
            </w:r>
          </w:p>
        </w:tc>
        <w:tc>
          <w:tcPr>
            <w:tcW w:w="3816" w:type="pct"/>
            <w:noWrap w:val="0"/>
            <w:vAlign w:val="top"/>
          </w:tcPr>
          <w:p>
            <w:pPr>
              <w:keepNext w:val="0"/>
              <w:keepLines w:val="0"/>
              <w:widowControl/>
              <w:suppressLineNumbers w:val="0"/>
              <w:jc w:val="left"/>
              <w:textAlignment w:val="top"/>
              <w:rPr>
                <w:rFonts w:hint="eastAsia" w:ascii="宋体" w:hAnsi="宋体" w:eastAsiaTheme="minorEastAsia" w:cstheme="minorBidi"/>
                <w:kern w:val="2"/>
                <w:sz w:val="24"/>
                <w:szCs w:val="24"/>
                <w:lang w:val="en-US" w:eastAsia="zh-CN" w:bidi="ar-SA"/>
              </w:rPr>
            </w:pPr>
            <w:r>
              <w:rPr>
                <w:rFonts w:hint="eastAsia" w:ascii="宋体" w:hAnsi="宋体" w:eastAsiaTheme="minorEastAsia" w:cstheme="minorBidi"/>
                <w:kern w:val="2"/>
                <w:sz w:val="24"/>
                <w:szCs w:val="24"/>
                <w:lang w:val="en-US" w:eastAsia="zh-CN" w:bidi="ar-SA"/>
              </w:rPr>
              <w:t>治疗时间（指每一次治疗的持续时间）：5、10、15、20、25、30、60、120min，可选择，有倒计时功能</w:t>
            </w:r>
          </w:p>
        </w:tc>
        <w:tc>
          <w:tcPr>
            <w:tcW w:w="758" w:type="pct"/>
            <w:noWrap w:val="0"/>
            <w:vAlign w:val="top"/>
          </w:tcPr>
          <w:p>
            <w:pPr>
              <w:jc w:val="center"/>
              <w:rPr>
                <w:rFonts w:hint="eastAsia" w:ascii="宋体" w:hAnsi="宋体" w:eastAsia="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2.6</w:t>
            </w:r>
          </w:p>
        </w:tc>
        <w:tc>
          <w:tcPr>
            <w:tcW w:w="3816" w:type="pct"/>
            <w:noWrap w:val="0"/>
            <w:vAlign w:val="top"/>
          </w:tcPr>
          <w:p>
            <w:pPr>
              <w:pStyle w:val="4"/>
              <w:numPr>
                <w:ilvl w:val="0"/>
                <w:numId w:val="0"/>
              </w:numPr>
              <w:ind w:leftChars="0"/>
              <w:rPr>
                <w:rFonts w:hint="eastAsia" w:ascii="宋体" w:hAnsi="宋体" w:eastAsiaTheme="minorEastAsia" w:cstheme="minorBidi"/>
                <w:kern w:val="2"/>
                <w:sz w:val="24"/>
                <w:szCs w:val="24"/>
                <w:lang w:val="en-US" w:eastAsia="zh-CN" w:bidi="ar-SA"/>
              </w:rPr>
            </w:pPr>
            <w:r>
              <w:rPr>
                <w:rFonts w:hint="eastAsia" w:ascii="宋体" w:hAnsi="宋体" w:eastAsiaTheme="minorEastAsia" w:cstheme="minorBidi"/>
                <w:kern w:val="2"/>
                <w:sz w:val="24"/>
                <w:szCs w:val="24"/>
                <w:lang w:val="en-US" w:eastAsia="zh-CN" w:bidi="ar-SA"/>
              </w:rPr>
              <w:t>具有贴片位置提示功能；</w:t>
            </w:r>
          </w:p>
          <w:p>
            <w:pPr>
              <w:keepNext w:val="0"/>
              <w:keepLines w:val="0"/>
              <w:widowControl/>
              <w:suppressLineNumbers w:val="0"/>
              <w:jc w:val="left"/>
              <w:textAlignment w:val="top"/>
              <w:rPr>
                <w:rFonts w:hint="eastAsia" w:ascii="宋体" w:hAnsi="宋体" w:eastAsiaTheme="minorEastAsia" w:cstheme="minorBidi"/>
                <w:kern w:val="2"/>
                <w:sz w:val="24"/>
                <w:szCs w:val="24"/>
                <w:lang w:val="en-US" w:eastAsia="zh-CN" w:bidi="ar-SA"/>
              </w:rPr>
            </w:pPr>
          </w:p>
        </w:tc>
        <w:tc>
          <w:tcPr>
            <w:tcW w:w="758" w:type="pct"/>
            <w:noWrap w:val="0"/>
            <w:vAlign w:val="top"/>
          </w:tcPr>
          <w:p>
            <w:pPr>
              <w:jc w:val="center"/>
              <w:rPr>
                <w:rFonts w:hint="eastAsia" w:ascii="宋体" w:hAnsi="宋体" w:eastAsia="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2.7</w:t>
            </w:r>
          </w:p>
        </w:tc>
        <w:tc>
          <w:tcPr>
            <w:tcW w:w="3816" w:type="pct"/>
            <w:noWrap w:val="0"/>
            <w:vAlign w:val="top"/>
          </w:tcPr>
          <w:p>
            <w:pPr>
              <w:keepNext w:val="0"/>
              <w:keepLines w:val="0"/>
              <w:widowControl/>
              <w:suppressLineNumbers w:val="0"/>
              <w:jc w:val="left"/>
              <w:textAlignment w:val="top"/>
              <w:rPr>
                <w:rFonts w:hint="eastAsia" w:ascii="宋体" w:hAnsi="宋体" w:eastAsiaTheme="minorEastAsia" w:cstheme="minorBidi"/>
                <w:kern w:val="2"/>
                <w:sz w:val="24"/>
                <w:szCs w:val="24"/>
                <w:lang w:val="en-US" w:eastAsia="zh-CN" w:bidi="ar-SA"/>
              </w:rPr>
            </w:pPr>
            <w:r>
              <w:rPr>
                <w:rFonts w:hint="eastAsia" w:ascii="宋体" w:hAnsi="宋体" w:eastAsiaTheme="minorEastAsia" w:cstheme="minorBidi"/>
                <w:kern w:val="2"/>
                <w:sz w:val="24"/>
                <w:szCs w:val="24"/>
                <w:lang w:val="en-US" w:eastAsia="zh-CN" w:bidi="ar-SA"/>
              </w:rPr>
              <w:t>具有LED指示、蜂鸣器提醒功能</w:t>
            </w:r>
          </w:p>
        </w:tc>
        <w:tc>
          <w:tcPr>
            <w:tcW w:w="758" w:type="pct"/>
            <w:noWrap w:val="0"/>
            <w:vAlign w:val="top"/>
          </w:tcPr>
          <w:p>
            <w:pPr>
              <w:jc w:val="both"/>
              <w:rPr>
                <w:rFonts w:hint="eastAsia" w:ascii="宋体" w:hAnsi="宋体" w:eastAsia="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2.8</w:t>
            </w:r>
          </w:p>
        </w:tc>
        <w:tc>
          <w:tcPr>
            <w:tcW w:w="3816" w:type="pct"/>
            <w:noWrap w:val="0"/>
            <w:vAlign w:val="top"/>
          </w:tcPr>
          <w:p>
            <w:pPr>
              <w:pStyle w:val="4"/>
              <w:numPr>
                <w:ilvl w:val="0"/>
                <w:numId w:val="0"/>
              </w:numPr>
              <w:ind w:leftChars="0"/>
              <w:rPr>
                <w:rFonts w:hint="eastAsia" w:ascii="宋体" w:hAnsi="宋体" w:eastAsiaTheme="minorEastAsia" w:cstheme="minorBidi"/>
                <w:kern w:val="2"/>
                <w:sz w:val="24"/>
                <w:szCs w:val="24"/>
                <w:lang w:val="en-US" w:eastAsia="zh-CN" w:bidi="ar-SA"/>
              </w:rPr>
            </w:pPr>
            <w:r>
              <w:rPr>
                <w:rFonts w:hint="eastAsia" w:ascii="宋体" w:hAnsi="宋体" w:eastAsiaTheme="minorEastAsia" w:cstheme="minorBidi"/>
                <w:kern w:val="2"/>
                <w:sz w:val="24"/>
                <w:szCs w:val="24"/>
                <w:lang w:val="en-US" w:eastAsia="zh-CN" w:bidi="ar-SA"/>
              </w:rPr>
              <w:t>噪音：不应有异常杂音，应 ≤60dB；</w:t>
            </w:r>
          </w:p>
          <w:p>
            <w:pPr>
              <w:keepNext w:val="0"/>
              <w:keepLines w:val="0"/>
              <w:widowControl/>
              <w:suppressLineNumbers w:val="0"/>
              <w:jc w:val="left"/>
              <w:textAlignment w:val="top"/>
              <w:rPr>
                <w:rFonts w:hint="eastAsia" w:ascii="宋体" w:hAnsi="宋体" w:eastAsiaTheme="minorEastAsia" w:cstheme="minorBidi"/>
                <w:kern w:val="2"/>
                <w:sz w:val="24"/>
                <w:szCs w:val="24"/>
                <w:lang w:val="en-US" w:eastAsia="zh-CN" w:bidi="ar-SA"/>
              </w:rPr>
            </w:pPr>
          </w:p>
        </w:tc>
        <w:tc>
          <w:tcPr>
            <w:tcW w:w="758" w:type="pct"/>
            <w:noWrap w:val="0"/>
            <w:vAlign w:val="top"/>
          </w:tcPr>
          <w:p>
            <w:pPr>
              <w:jc w:val="center"/>
              <w:rPr>
                <w:rFonts w:hint="eastAsia" w:ascii="宋体" w:hAnsi="宋体" w:eastAsia="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2.9</w:t>
            </w:r>
          </w:p>
        </w:tc>
        <w:tc>
          <w:tcPr>
            <w:tcW w:w="3816" w:type="pct"/>
            <w:noWrap w:val="0"/>
            <w:vAlign w:val="top"/>
          </w:tcPr>
          <w:p>
            <w:pPr>
              <w:pStyle w:val="4"/>
              <w:numPr>
                <w:ilvl w:val="0"/>
                <w:numId w:val="0"/>
              </w:numPr>
              <w:ind w:leftChars="0"/>
              <w:rPr>
                <w:rFonts w:hint="eastAsia" w:ascii="宋体" w:hAnsi="宋体" w:eastAsiaTheme="minorEastAsia" w:cstheme="minorBidi"/>
                <w:kern w:val="2"/>
                <w:sz w:val="24"/>
                <w:szCs w:val="24"/>
                <w:lang w:val="en-US" w:eastAsia="zh-CN" w:bidi="ar-SA"/>
              </w:rPr>
            </w:pPr>
            <w:r>
              <w:rPr>
                <w:rFonts w:hint="eastAsia" w:ascii="宋体" w:hAnsi="宋体" w:eastAsiaTheme="minorEastAsia" w:cstheme="minorBidi"/>
                <w:kern w:val="2"/>
                <w:sz w:val="24"/>
                <w:szCs w:val="24"/>
                <w:lang w:val="en-US" w:eastAsia="zh-CN" w:bidi="ar-SA"/>
              </w:rPr>
              <w:t>脉冲幅度值：在负载阻抗为500Ω时，输出脉冲幅度不大于30V；</w:t>
            </w:r>
          </w:p>
          <w:p>
            <w:pPr>
              <w:keepNext w:val="0"/>
              <w:keepLines w:val="0"/>
              <w:widowControl/>
              <w:suppressLineNumbers w:val="0"/>
              <w:jc w:val="left"/>
              <w:textAlignment w:val="top"/>
              <w:rPr>
                <w:rFonts w:hint="eastAsia" w:ascii="宋体" w:hAnsi="宋体" w:eastAsiaTheme="minorEastAsia" w:cstheme="minorBidi"/>
                <w:kern w:val="2"/>
                <w:sz w:val="24"/>
                <w:szCs w:val="24"/>
                <w:lang w:val="en-US" w:eastAsia="zh-CN" w:bidi="ar-SA"/>
              </w:rPr>
            </w:pPr>
          </w:p>
        </w:tc>
        <w:tc>
          <w:tcPr>
            <w:tcW w:w="758" w:type="pct"/>
            <w:noWrap w:val="0"/>
            <w:vAlign w:val="top"/>
          </w:tcPr>
          <w:p>
            <w:pPr>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 xml:space="preserve">2.10 </w:t>
            </w:r>
          </w:p>
        </w:tc>
        <w:tc>
          <w:tcPr>
            <w:tcW w:w="3816" w:type="pct"/>
            <w:noWrap w:val="0"/>
            <w:vAlign w:val="top"/>
          </w:tcPr>
          <w:p>
            <w:pPr>
              <w:pStyle w:val="4"/>
              <w:numPr>
                <w:ilvl w:val="0"/>
                <w:numId w:val="0"/>
              </w:numPr>
              <w:ind w:leftChars="0"/>
              <w:rPr>
                <w:rFonts w:hint="eastAsia" w:ascii="宋体" w:hAnsi="宋体" w:eastAsiaTheme="minorEastAsia" w:cstheme="minorBidi"/>
                <w:kern w:val="2"/>
                <w:sz w:val="24"/>
                <w:szCs w:val="24"/>
                <w:lang w:val="en-US" w:eastAsia="zh-CN" w:bidi="ar-SA"/>
              </w:rPr>
            </w:pPr>
            <w:r>
              <w:rPr>
                <w:rFonts w:hint="eastAsia" w:ascii="宋体" w:hAnsi="宋体" w:eastAsiaTheme="minorEastAsia" w:cstheme="minorBidi"/>
                <w:kern w:val="2"/>
                <w:sz w:val="24"/>
                <w:szCs w:val="24"/>
                <w:lang w:val="en-US" w:eastAsia="zh-CN" w:bidi="ar-SA"/>
              </w:rPr>
              <w:t>电源要求： DC 3.8V（专用锂电池）±10%；</w:t>
            </w:r>
          </w:p>
          <w:p>
            <w:pPr>
              <w:keepNext w:val="0"/>
              <w:keepLines w:val="0"/>
              <w:widowControl/>
              <w:suppressLineNumbers w:val="0"/>
              <w:jc w:val="left"/>
              <w:textAlignment w:val="top"/>
              <w:rPr>
                <w:rFonts w:hint="eastAsia" w:ascii="宋体" w:hAnsi="宋体" w:eastAsiaTheme="minorEastAsia" w:cstheme="minorBidi"/>
                <w:kern w:val="2"/>
                <w:sz w:val="24"/>
                <w:szCs w:val="24"/>
                <w:lang w:val="en-US" w:eastAsia="zh-CN" w:bidi="ar-SA"/>
              </w:rPr>
            </w:pPr>
          </w:p>
        </w:tc>
        <w:tc>
          <w:tcPr>
            <w:tcW w:w="758" w:type="pct"/>
            <w:noWrap w:val="0"/>
            <w:vAlign w:val="top"/>
          </w:tcPr>
          <w:p>
            <w:pPr>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 xml:space="preserve">2.11 </w:t>
            </w:r>
          </w:p>
        </w:tc>
        <w:tc>
          <w:tcPr>
            <w:tcW w:w="3816" w:type="pct"/>
            <w:noWrap w:val="0"/>
            <w:vAlign w:val="top"/>
          </w:tcPr>
          <w:p>
            <w:pPr>
              <w:keepNext w:val="0"/>
              <w:keepLines w:val="0"/>
              <w:widowControl/>
              <w:suppressLineNumbers w:val="0"/>
              <w:jc w:val="left"/>
              <w:textAlignment w:val="top"/>
              <w:rPr>
                <w:rFonts w:hint="eastAsia" w:ascii="宋体" w:hAnsi="宋体" w:eastAsiaTheme="minorEastAsia" w:cstheme="minorBidi"/>
                <w:kern w:val="2"/>
                <w:sz w:val="24"/>
                <w:szCs w:val="24"/>
                <w:lang w:val="en-US" w:eastAsia="zh-CN" w:bidi="ar-SA"/>
              </w:rPr>
            </w:pPr>
            <w:r>
              <w:rPr>
                <w:rFonts w:hint="eastAsia" w:ascii="宋体" w:hAnsi="宋体" w:eastAsiaTheme="minorEastAsia" w:cstheme="minorBidi"/>
                <w:kern w:val="2"/>
                <w:sz w:val="24"/>
                <w:szCs w:val="24"/>
                <w:lang w:val="en-US" w:eastAsia="zh-CN" w:bidi="ar-SA"/>
              </w:rPr>
              <w:t>工作模式：连续运行。</w:t>
            </w:r>
          </w:p>
          <w:p>
            <w:pPr>
              <w:keepNext w:val="0"/>
              <w:keepLines w:val="0"/>
              <w:widowControl/>
              <w:suppressLineNumbers w:val="0"/>
              <w:jc w:val="left"/>
              <w:textAlignment w:val="top"/>
              <w:rPr>
                <w:rFonts w:hint="eastAsia" w:ascii="宋体" w:hAnsi="宋体" w:eastAsiaTheme="minorEastAsia" w:cstheme="minorBidi"/>
                <w:kern w:val="2"/>
                <w:sz w:val="24"/>
                <w:szCs w:val="24"/>
                <w:lang w:val="en-US" w:eastAsia="zh-CN" w:bidi="ar-SA"/>
              </w:rPr>
            </w:pPr>
          </w:p>
        </w:tc>
        <w:tc>
          <w:tcPr>
            <w:tcW w:w="758" w:type="pct"/>
            <w:noWrap w:val="0"/>
            <w:vAlign w:val="top"/>
          </w:tcPr>
          <w:p>
            <w:pPr>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三</w:t>
            </w:r>
          </w:p>
        </w:tc>
        <w:tc>
          <w:tcPr>
            <w:tcW w:w="3816" w:type="pct"/>
            <w:noWrap w:val="0"/>
            <w:vAlign w:val="top"/>
          </w:tcPr>
          <w:p>
            <w:pPr>
              <w:keepNext w:val="0"/>
              <w:keepLines w:val="0"/>
              <w:widowControl/>
              <w:suppressLineNumbers w:val="0"/>
              <w:jc w:val="both"/>
              <w:textAlignment w:val="top"/>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安装验收</w:t>
            </w:r>
          </w:p>
        </w:tc>
        <w:tc>
          <w:tcPr>
            <w:tcW w:w="758" w:type="pct"/>
            <w:noWrap w:val="0"/>
            <w:vAlign w:val="top"/>
          </w:tcPr>
          <w:p>
            <w:pPr>
              <w:jc w:val="center"/>
              <w:rPr>
                <w:rFonts w:hint="eastAsia" w:ascii="宋体" w:hAnsi="宋体" w:eastAsia="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sz w:val="24"/>
                <w:szCs w:val="24"/>
              </w:rPr>
            </w:pPr>
            <w:r>
              <w:rPr>
                <w:rFonts w:hint="eastAsia" w:ascii="宋体" w:hAnsi="宋体" w:eastAsia="宋体" w:cs="宋体"/>
                <w:i w:val="0"/>
                <w:iCs w:val="0"/>
                <w:color w:val="000000"/>
                <w:kern w:val="0"/>
                <w:sz w:val="24"/>
                <w:szCs w:val="24"/>
                <w:u w:val="none"/>
                <w:lang w:val="en-US" w:eastAsia="zh-CN" w:bidi="ar"/>
              </w:rPr>
              <w:t>3.1</w:t>
            </w:r>
          </w:p>
        </w:tc>
        <w:tc>
          <w:tcPr>
            <w:tcW w:w="3816" w:type="pct"/>
            <w:noWrap w:val="0"/>
            <w:vAlign w:val="center"/>
          </w:tcPr>
          <w:p>
            <w:pPr>
              <w:keepNext w:val="0"/>
              <w:keepLines w:val="0"/>
              <w:widowControl/>
              <w:suppressLineNumbers w:val="0"/>
              <w:jc w:val="both"/>
              <w:textAlignment w:val="center"/>
              <w:rPr>
                <w:rFonts w:hint="eastAsia" w:ascii="宋体" w:hAnsi="宋体" w:eastAsia="宋体" w:cs="宋体"/>
                <w:sz w:val="24"/>
                <w:szCs w:val="24"/>
              </w:rPr>
            </w:pPr>
            <w:r>
              <w:rPr>
                <w:rFonts w:hint="eastAsia" w:ascii="宋体" w:hAnsi="宋体" w:eastAsia="宋体" w:cs="宋体"/>
                <w:i w:val="0"/>
                <w:iCs w:val="0"/>
                <w:color w:val="000000"/>
                <w:kern w:val="0"/>
                <w:sz w:val="24"/>
                <w:szCs w:val="24"/>
                <w:u w:val="none"/>
                <w:lang w:val="en-US" w:eastAsia="zh-CN" w:bidi="ar"/>
              </w:rPr>
              <w:t>安装地点：医院指定科室；</w:t>
            </w:r>
          </w:p>
        </w:tc>
        <w:tc>
          <w:tcPr>
            <w:tcW w:w="758" w:type="pct"/>
            <w:noWrap w:val="0"/>
            <w:vAlign w:val="top"/>
          </w:tcPr>
          <w:p>
            <w:pPr>
              <w:jc w:val="center"/>
              <w:rPr>
                <w:rFonts w:hint="eastAsia" w:ascii="宋体" w:hAnsi="宋体" w:eastAsia="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sz w:val="24"/>
                <w:szCs w:val="24"/>
              </w:rPr>
            </w:pPr>
            <w:r>
              <w:rPr>
                <w:rFonts w:hint="eastAsia" w:ascii="宋体" w:hAnsi="宋体" w:eastAsia="宋体" w:cs="宋体"/>
                <w:i w:val="0"/>
                <w:iCs w:val="0"/>
                <w:color w:val="000000"/>
                <w:kern w:val="0"/>
                <w:sz w:val="24"/>
                <w:szCs w:val="24"/>
                <w:u w:val="none"/>
                <w:lang w:val="en-US" w:eastAsia="zh-CN" w:bidi="ar"/>
              </w:rPr>
              <w:t>3.2</w:t>
            </w:r>
          </w:p>
        </w:tc>
        <w:tc>
          <w:tcPr>
            <w:tcW w:w="3816" w:type="pct"/>
            <w:noWrap w:val="0"/>
            <w:vAlign w:val="center"/>
          </w:tcPr>
          <w:p>
            <w:pPr>
              <w:keepNext w:val="0"/>
              <w:keepLines w:val="0"/>
              <w:widowControl/>
              <w:suppressLineNumbers w:val="0"/>
              <w:jc w:val="both"/>
              <w:textAlignment w:val="center"/>
              <w:rPr>
                <w:rFonts w:hint="eastAsia" w:ascii="宋体" w:hAnsi="宋体" w:eastAsia="宋体" w:cs="宋体"/>
                <w:sz w:val="24"/>
                <w:szCs w:val="24"/>
              </w:rPr>
            </w:pPr>
            <w:r>
              <w:rPr>
                <w:rFonts w:hint="eastAsia" w:ascii="宋体" w:hAnsi="宋体" w:eastAsia="宋体" w:cs="宋体"/>
                <w:i w:val="0"/>
                <w:iCs w:val="0"/>
                <w:color w:val="000000"/>
                <w:kern w:val="0"/>
                <w:sz w:val="24"/>
                <w:szCs w:val="24"/>
                <w:u w:val="none"/>
                <w:lang w:val="en-US" w:eastAsia="zh-CN" w:bidi="ar"/>
              </w:rPr>
              <w:t>安装完成时间：合同签订后1个月内交货，接买方通知后3天内完成安装；</w:t>
            </w:r>
          </w:p>
        </w:tc>
        <w:tc>
          <w:tcPr>
            <w:tcW w:w="758" w:type="pct"/>
            <w:noWrap w:val="0"/>
            <w:vAlign w:val="top"/>
          </w:tcPr>
          <w:p>
            <w:pPr>
              <w:jc w:val="center"/>
              <w:rPr>
                <w:rFonts w:hint="eastAsia" w:ascii="宋体" w:hAnsi="宋体" w:eastAsia="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sz w:val="24"/>
                <w:szCs w:val="24"/>
              </w:rPr>
            </w:pPr>
            <w:r>
              <w:rPr>
                <w:rFonts w:hint="eastAsia" w:ascii="宋体" w:hAnsi="宋体" w:eastAsia="宋体" w:cs="宋体"/>
                <w:i w:val="0"/>
                <w:iCs w:val="0"/>
                <w:color w:val="000000"/>
                <w:kern w:val="0"/>
                <w:sz w:val="24"/>
                <w:szCs w:val="24"/>
                <w:u w:val="none"/>
                <w:lang w:val="en-US" w:eastAsia="zh-CN" w:bidi="ar"/>
              </w:rPr>
              <w:t>3.3</w:t>
            </w:r>
          </w:p>
        </w:tc>
        <w:tc>
          <w:tcPr>
            <w:tcW w:w="3816" w:type="pct"/>
            <w:noWrap w:val="0"/>
            <w:vAlign w:val="center"/>
          </w:tcPr>
          <w:p>
            <w:pPr>
              <w:keepNext w:val="0"/>
              <w:keepLines w:val="0"/>
              <w:widowControl/>
              <w:suppressLineNumbers w:val="0"/>
              <w:jc w:val="both"/>
              <w:textAlignment w:val="center"/>
              <w:rPr>
                <w:rFonts w:hint="eastAsia" w:ascii="宋体" w:hAnsi="宋体" w:eastAsia="宋体" w:cs="宋体"/>
                <w:sz w:val="24"/>
                <w:szCs w:val="24"/>
              </w:rPr>
            </w:pPr>
            <w:r>
              <w:rPr>
                <w:rFonts w:hint="eastAsia" w:ascii="宋体" w:hAnsi="宋体" w:eastAsia="宋体" w:cs="宋体"/>
                <w:i w:val="0"/>
                <w:iCs w:val="0"/>
                <w:color w:val="000000"/>
                <w:kern w:val="0"/>
                <w:sz w:val="24"/>
                <w:szCs w:val="24"/>
                <w:u w:val="none"/>
                <w:lang w:val="en-US" w:eastAsia="zh-CN" w:bidi="ar"/>
              </w:rPr>
              <w:t>安装标准：符合我国国家有关技术规范和技术标准；</w:t>
            </w:r>
          </w:p>
        </w:tc>
        <w:tc>
          <w:tcPr>
            <w:tcW w:w="758" w:type="pct"/>
            <w:noWrap w:val="0"/>
            <w:vAlign w:val="top"/>
          </w:tcPr>
          <w:p>
            <w:pPr>
              <w:jc w:val="center"/>
              <w:rPr>
                <w:rFonts w:hint="eastAsia" w:ascii="宋体" w:hAnsi="宋体" w:eastAsia="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b/>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3.4</w:t>
            </w:r>
          </w:p>
        </w:tc>
        <w:tc>
          <w:tcPr>
            <w:tcW w:w="3816" w:type="pct"/>
            <w:noWrap w:val="0"/>
            <w:vAlign w:val="center"/>
          </w:tcPr>
          <w:p>
            <w:pPr>
              <w:keepNext w:val="0"/>
              <w:keepLines w:val="0"/>
              <w:widowControl/>
              <w:suppressLineNumbers w:val="0"/>
              <w:jc w:val="both"/>
              <w:textAlignment w:val="center"/>
              <w:rPr>
                <w:rFonts w:hint="eastAsia" w:ascii="宋体" w:hAnsi="宋体" w:eastAsia="宋体" w:cs="宋体"/>
                <w:b/>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验收标准：符合我国国家有关技术规范和技术标准。</w:t>
            </w:r>
          </w:p>
        </w:tc>
        <w:tc>
          <w:tcPr>
            <w:tcW w:w="758" w:type="pct"/>
            <w:noWrap w:val="0"/>
            <w:vAlign w:val="top"/>
          </w:tcPr>
          <w:p>
            <w:pPr>
              <w:jc w:val="center"/>
              <w:rPr>
                <w:rFonts w:hint="eastAsia" w:ascii="宋体" w:hAnsi="宋体" w:eastAsia="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3.5</w:t>
            </w:r>
          </w:p>
        </w:tc>
        <w:tc>
          <w:tcPr>
            <w:tcW w:w="3816" w:type="pct"/>
            <w:noWrap w:val="0"/>
            <w:vAlign w:val="center"/>
          </w:tcPr>
          <w:p>
            <w:pPr>
              <w:keepNext w:val="0"/>
              <w:keepLines w:val="0"/>
              <w:widowControl/>
              <w:suppressLineNumbers w:val="0"/>
              <w:jc w:val="both"/>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安装、验收合格前所产生的一切费用（包括卸货、搬运、必要时的安全性能检测费等）由供方负责提供。</w:t>
            </w:r>
          </w:p>
        </w:tc>
        <w:tc>
          <w:tcPr>
            <w:tcW w:w="758" w:type="pct"/>
            <w:noWrap w:val="0"/>
            <w:vAlign w:val="top"/>
          </w:tcPr>
          <w:p>
            <w:pPr>
              <w:jc w:val="center"/>
              <w:rPr>
                <w:rFonts w:hint="eastAsia" w:ascii="宋体" w:hAnsi="宋体" w:eastAsia="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四</w:t>
            </w:r>
          </w:p>
        </w:tc>
        <w:tc>
          <w:tcPr>
            <w:tcW w:w="3816" w:type="pct"/>
            <w:noWrap w:val="0"/>
            <w:vAlign w:val="top"/>
          </w:tcPr>
          <w:p>
            <w:pPr>
              <w:keepNext w:val="0"/>
              <w:keepLines w:val="0"/>
              <w:widowControl/>
              <w:suppressLineNumbers w:val="0"/>
              <w:jc w:val="both"/>
              <w:textAlignment w:val="top"/>
              <w:rPr>
                <w:rFonts w:hint="eastAsia" w:ascii="宋体" w:hAnsi="宋体" w:eastAsia="宋体" w:cs="宋体"/>
                <w:kern w:val="2"/>
                <w:sz w:val="24"/>
                <w:szCs w:val="24"/>
                <w:lang w:val="en-US" w:eastAsia="zh-CN" w:bidi="ar-SA"/>
              </w:rPr>
            </w:pPr>
            <w:r>
              <w:rPr>
                <w:rFonts w:hint="eastAsia" w:ascii="宋体" w:hAnsi="宋体" w:eastAsia="宋体" w:cs="宋体"/>
                <w:b/>
                <w:bCs/>
                <w:i w:val="0"/>
                <w:iCs w:val="0"/>
                <w:color w:val="000000"/>
                <w:kern w:val="0"/>
                <w:sz w:val="24"/>
                <w:szCs w:val="24"/>
                <w:u w:val="none"/>
                <w:lang w:val="en-US" w:eastAsia="zh-CN" w:bidi="ar"/>
              </w:rPr>
              <w:t>售后服务</w:t>
            </w:r>
          </w:p>
        </w:tc>
        <w:tc>
          <w:tcPr>
            <w:tcW w:w="758" w:type="pct"/>
            <w:noWrap w:val="0"/>
            <w:vAlign w:val="top"/>
          </w:tcPr>
          <w:p>
            <w:pPr>
              <w:jc w:val="center"/>
              <w:rPr>
                <w:rFonts w:hint="eastAsia" w:ascii="宋体" w:hAnsi="宋体" w:eastAsia="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24" w:type="pct"/>
            <w:noWrap w:val="0"/>
            <w:vAlign w:val="center"/>
          </w:tcPr>
          <w:p>
            <w:pPr>
              <w:keepNext w:val="0"/>
              <w:keepLines w:val="0"/>
              <w:widowControl/>
              <w:suppressLineNumbers w:val="0"/>
              <w:jc w:val="both"/>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4.1</w:t>
            </w:r>
          </w:p>
        </w:tc>
        <w:tc>
          <w:tcPr>
            <w:tcW w:w="3816" w:type="pct"/>
            <w:noWrap w:val="0"/>
            <w:vAlign w:val="center"/>
          </w:tcPr>
          <w:p>
            <w:pPr>
              <w:keepNext w:val="0"/>
              <w:keepLines w:val="0"/>
              <w:widowControl/>
              <w:suppressLineNumbers w:val="0"/>
              <w:jc w:val="both"/>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免费保修：设备验收合格后保修≥3年，期间免一切维修费用；</w:t>
            </w:r>
          </w:p>
        </w:tc>
        <w:tc>
          <w:tcPr>
            <w:tcW w:w="758" w:type="pct"/>
            <w:noWrap w:val="0"/>
            <w:vAlign w:val="top"/>
          </w:tcPr>
          <w:p>
            <w:pPr>
              <w:jc w:val="center"/>
              <w:rPr>
                <w:rFonts w:hint="eastAsia" w:ascii="宋体" w:hAnsi="宋体" w:eastAsia="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五</w:t>
            </w:r>
          </w:p>
        </w:tc>
        <w:tc>
          <w:tcPr>
            <w:tcW w:w="3816" w:type="pct"/>
            <w:noWrap w:val="0"/>
            <w:vAlign w:val="top"/>
          </w:tcPr>
          <w:p>
            <w:pPr>
              <w:keepNext w:val="0"/>
              <w:keepLines w:val="0"/>
              <w:widowControl/>
              <w:suppressLineNumbers w:val="0"/>
              <w:jc w:val="both"/>
              <w:textAlignment w:val="top"/>
              <w:rPr>
                <w:rFonts w:hint="eastAsia" w:ascii="宋体" w:hAnsi="宋体" w:eastAsia="宋体" w:cs="宋体"/>
                <w:kern w:val="2"/>
                <w:sz w:val="24"/>
                <w:szCs w:val="24"/>
                <w:lang w:val="en-US" w:eastAsia="zh-CN" w:bidi="ar-SA"/>
              </w:rPr>
            </w:pPr>
            <w:r>
              <w:rPr>
                <w:rFonts w:hint="eastAsia" w:ascii="宋体" w:hAnsi="宋体" w:eastAsia="宋体" w:cs="宋体"/>
                <w:b/>
                <w:bCs/>
                <w:i w:val="0"/>
                <w:iCs w:val="0"/>
                <w:color w:val="000000"/>
                <w:kern w:val="0"/>
                <w:sz w:val="24"/>
                <w:szCs w:val="24"/>
                <w:u w:val="none"/>
                <w:lang w:val="en-US" w:eastAsia="zh-CN" w:bidi="ar"/>
              </w:rPr>
              <w:t>其他要求</w:t>
            </w:r>
          </w:p>
        </w:tc>
        <w:tc>
          <w:tcPr>
            <w:tcW w:w="758" w:type="pct"/>
            <w:noWrap w:val="0"/>
            <w:vAlign w:val="top"/>
          </w:tcPr>
          <w:p>
            <w:pPr>
              <w:jc w:val="center"/>
              <w:rPr>
                <w:rFonts w:hint="eastAsia" w:ascii="宋体" w:hAnsi="宋体" w:eastAsia="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5.1</w:t>
            </w:r>
          </w:p>
        </w:tc>
        <w:tc>
          <w:tcPr>
            <w:tcW w:w="3816" w:type="pct"/>
            <w:noWrap w:val="0"/>
            <w:vAlign w:val="top"/>
          </w:tcPr>
          <w:p>
            <w:pPr>
              <w:keepNext w:val="0"/>
              <w:keepLines w:val="0"/>
              <w:widowControl/>
              <w:suppressLineNumbers w:val="0"/>
              <w:jc w:val="both"/>
              <w:textAlignment w:val="top"/>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属于医疗器械管理范围的产品必须提供医疗器械注册证及注册登记表</w:t>
            </w:r>
          </w:p>
        </w:tc>
        <w:tc>
          <w:tcPr>
            <w:tcW w:w="758" w:type="pct"/>
            <w:noWrap w:val="0"/>
            <w:vAlign w:val="top"/>
          </w:tcPr>
          <w:p>
            <w:pPr>
              <w:jc w:val="center"/>
              <w:rPr>
                <w:rFonts w:hint="eastAsia" w:ascii="宋体" w:hAnsi="宋体" w:eastAsia="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b/>
                <w:sz w:val="24"/>
                <w:szCs w:val="24"/>
                <w:lang w:val="en-US" w:eastAsia="zh-CN"/>
              </w:rPr>
            </w:pPr>
            <w:r>
              <w:rPr>
                <w:rFonts w:hint="eastAsia" w:ascii="宋体" w:hAnsi="宋体" w:eastAsia="宋体" w:cs="宋体"/>
                <w:i w:val="0"/>
                <w:iCs w:val="0"/>
                <w:color w:val="000000"/>
                <w:kern w:val="0"/>
                <w:sz w:val="24"/>
                <w:szCs w:val="24"/>
                <w:u w:val="none"/>
                <w:lang w:val="en-US" w:eastAsia="zh-CN" w:bidi="ar"/>
              </w:rPr>
              <w:t>5.2</w:t>
            </w:r>
          </w:p>
        </w:tc>
        <w:tc>
          <w:tcPr>
            <w:tcW w:w="3816" w:type="pct"/>
            <w:noWrap w:val="0"/>
            <w:vAlign w:val="top"/>
          </w:tcPr>
          <w:p>
            <w:pPr>
              <w:keepNext w:val="0"/>
              <w:keepLines w:val="0"/>
              <w:widowControl/>
              <w:suppressLineNumbers w:val="0"/>
              <w:jc w:val="both"/>
              <w:textAlignment w:val="top"/>
              <w:rPr>
                <w:rFonts w:hint="eastAsia" w:ascii="宋体" w:hAnsi="宋体" w:eastAsia="宋体" w:cs="宋体"/>
                <w:b/>
                <w:sz w:val="24"/>
                <w:szCs w:val="24"/>
                <w:lang w:val="en-US" w:eastAsia="zh-CN"/>
              </w:rPr>
            </w:pPr>
            <w:r>
              <w:rPr>
                <w:rFonts w:hint="eastAsia" w:ascii="宋体" w:hAnsi="宋体" w:eastAsia="宋体" w:cs="宋体"/>
                <w:i w:val="0"/>
                <w:iCs w:val="0"/>
                <w:color w:val="000000"/>
                <w:kern w:val="0"/>
                <w:sz w:val="24"/>
                <w:szCs w:val="24"/>
                <w:u w:val="none"/>
                <w:lang w:val="en-US" w:eastAsia="zh-CN" w:bidi="ar"/>
              </w:rPr>
              <w:t>厂家承诺提供设备免费保修期（含消耗品、易损品、维修配件、人工服务等）≥ 3年。提供过保后年保价格</w:t>
            </w:r>
          </w:p>
        </w:tc>
        <w:tc>
          <w:tcPr>
            <w:tcW w:w="758" w:type="pct"/>
            <w:noWrap w:val="0"/>
            <w:vAlign w:val="center"/>
          </w:tcPr>
          <w:p>
            <w:pPr>
              <w:rPr>
                <w:rFonts w:hint="eastAsia" w:ascii="宋体" w:hAnsi="宋体" w:eastAsia="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5.3</w:t>
            </w:r>
          </w:p>
        </w:tc>
        <w:tc>
          <w:tcPr>
            <w:tcW w:w="3816" w:type="pct"/>
            <w:noWrap w:val="0"/>
            <w:vAlign w:val="top"/>
          </w:tcPr>
          <w:p>
            <w:pPr>
              <w:keepNext w:val="0"/>
              <w:keepLines w:val="0"/>
              <w:widowControl/>
              <w:suppressLineNumbers w:val="0"/>
              <w:jc w:val="both"/>
              <w:textAlignment w:val="top"/>
              <w:rPr>
                <w:rFonts w:hint="eastAsia" w:ascii="宋体" w:hAnsi="宋体" w:eastAsia="宋体" w:cs="宋体"/>
                <w:b/>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操作手册、维修手册：提供操作手册、维修手册各一套</w:t>
            </w:r>
          </w:p>
        </w:tc>
        <w:tc>
          <w:tcPr>
            <w:tcW w:w="758" w:type="pct"/>
            <w:noWrap w:val="0"/>
            <w:vAlign w:val="top"/>
          </w:tcPr>
          <w:p>
            <w:pPr>
              <w:jc w:val="center"/>
              <w:rPr>
                <w:rFonts w:hint="eastAsia" w:ascii="宋体" w:hAnsi="宋体" w:eastAsia="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5.4</w:t>
            </w:r>
          </w:p>
        </w:tc>
        <w:tc>
          <w:tcPr>
            <w:tcW w:w="3816" w:type="pct"/>
            <w:noWrap w:val="0"/>
            <w:vAlign w:val="top"/>
          </w:tcPr>
          <w:p>
            <w:pPr>
              <w:keepNext w:val="0"/>
              <w:keepLines w:val="0"/>
              <w:widowControl/>
              <w:suppressLineNumbers w:val="0"/>
              <w:jc w:val="both"/>
              <w:textAlignment w:val="top"/>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培训：提供临床应用操作培训,并提供临床资料(培训ppt、考核试题)</w:t>
            </w:r>
          </w:p>
        </w:tc>
        <w:tc>
          <w:tcPr>
            <w:tcW w:w="758" w:type="pct"/>
            <w:noWrap w:val="0"/>
            <w:vAlign w:val="top"/>
          </w:tcPr>
          <w:p>
            <w:pPr>
              <w:jc w:val="center"/>
              <w:rPr>
                <w:rFonts w:hint="eastAsia" w:ascii="宋体" w:hAnsi="宋体" w:eastAsia="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5.5</w:t>
            </w:r>
          </w:p>
        </w:tc>
        <w:tc>
          <w:tcPr>
            <w:tcW w:w="3816" w:type="pct"/>
            <w:noWrap w:val="0"/>
            <w:vAlign w:val="top"/>
          </w:tcPr>
          <w:p>
            <w:pPr>
              <w:keepNext w:val="0"/>
              <w:keepLines w:val="0"/>
              <w:widowControl/>
              <w:suppressLineNumbers w:val="0"/>
              <w:jc w:val="both"/>
              <w:textAlignment w:val="top"/>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软件终身免费升级</w:t>
            </w:r>
          </w:p>
        </w:tc>
        <w:tc>
          <w:tcPr>
            <w:tcW w:w="758" w:type="pct"/>
            <w:noWrap w:val="0"/>
            <w:vAlign w:val="top"/>
          </w:tcPr>
          <w:p>
            <w:pPr>
              <w:jc w:val="center"/>
              <w:rPr>
                <w:rFonts w:hint="eastAsia" w:ascii="宋体" w:hAnsi="宋体" w:eastAsia="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5.6</w:t>
            </w:r>
          </w:p>
        </w:tc>
        <w:tc>
          <w:tcPr>
            <w:tcW w:w="3816" w:type="pct"/>
            <w:noWrap w:val="0"/>
            <w:vAlign w:val="top"/>
          </w:tcPr>
          <w:p>
            <w:pPr>
              <w:keepNext w:val="0"/>
              <w:keepLines w:val="0"/>
              <w:widowControl/>
              <w:suppressLineNumbers w:val="0"/>
              <w:jc w:val="both"/>
              <w:textAlignment w:val="top"/>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付款方式:验收合格后90工作日内付款，投标商开具单张发票限额必须大于投标单台设备价格</w:t>
            </w:r>
          </w:p>
        </w:tc>
        <w:tc>
          <w:tcPr>
            <w:tcW w:w="758" w:type="pct"/>
            <w:noWrap w:val="0"/>
            <w:vAlign w:val="top"/>
          </w:tcPr>
          <w:p>
            <w:pPr>
              <w:jc w:val="center"/>
              <w:rPr>
                <w:rFonts w:hint="eastAsia" w:ascii="宋体" w:hAnsi="宋体" w:eastAsia="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5.7</w:t>
            </w:r>
          </w:p>
        </w:tc>
        <w:tc>
          <w:tcPr>
            <w:tcW w:w="3816" w:type="pct"/>
            <w:noWrap w:val="0"/>
            <w:vAlign w:val="top"/>
          </w:tcPr>
          <w:p>
            <w:pPr>
              <w:keepNext w:val="0"/>
              <w:keepLines w:val="0"/>
              <w:widowControl/>
              <w:suppressLineNumbers w:val="0"/>
              <w:jc w:val="both"/>
              <w:textAlignment w:val="top"/>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投标商提供的设备必须在距投标当日10个月内生产</w:t>
            </w:r>
          </w:p>
        </w:tc>
        <w:tc>
          <w:tcPr>
            <w:tcW w:w="758" w:type="pct"/>
            <w:noWrap w:val="0"/>
            <w:vAlign w:val="top"/>
          </w:tcPr>
          <w:p>
            <w:pPr>
              <w:jc w:val="center"/>
              <w:rPr>
                <w:rFonts w:hint="eastAsia" w:ascii="宋体" w:hAnsi="宋体" w:eastAsia="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24" w:type="pct"/>
            <w:noWrap w:val="0"/>
            <w:vAlign w:val="top"/>
          </w:tcPr>
          <w:p>
            <w:pPr>
              <w:keepNext w:val="0"/>
              <w:keepLines w:val="0"/>
              <w:widowControl/>
              <w:suppressLineNumbers w:val="0"/>
              <w:jc w:val="both"/>
              <w:textAlignment w:val="top"/>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5.8</w:t>
            </w:r>
          </w:p>
        </w:tc>
        <w:tc>
          <w:tcPr>
            <w:tcW w:w="3816" w:type="pct"/>
            <w:noWrap w:val="0"/>
            <w:vAlign w:val="top"/>
          </w:tcPr>
          <w:p>
            <w:pPr>
              <w:keepNext w:val="0"/>
              <w:keepLines w:val="0"/>
              <w:widowControl/>
              <w:suppressLineNumbers w:val="0"/>
              <w:jc w:val="left"/>
              <w:textAlignment w:val="top"/>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其它优惠条款</w:t>
            </w:r>
          </w:p>
        </w:tc>
        <w:tc>
          <w:tcPr>
            <w:tcW w:w="758" w:type="pct"/>
            <w:noWrap w:val="0"/>
            <w:vAlign w:val="top"/>
          </w:tcPr>
          <w:p>
            <w:pPr>
              <w:jc w:val="center"/>
              <w:rPr>
                <w:rFonts w:hint="eastAsia" w:ascii="宋体" w:hAnsi="宋体" w:eastAsia="宋体" w:cs="宋体"/>
                <w:kern w:val="0"/>
                <w:sz w:val="24"/>
                <w:szCs w:val="24"/>
              </w:rPr>
            </w:pPr>
          </w:p>
        </w:tc>
      </w:tr>
    </w:tbl>
    <w:p>
      <w:pPr>
        <w:snapToGrid w:val="0"/>
        <w:spacing w:line="360" w:lineRule="auto"/>
        <w:ind w:firstLine="470" w:firstLineChars="196"/>
        <w:jc w:val="left"/>
        <w:rPr>
          <w:rFonts w:hint="eastAsia" w:asciiTheme="minorEastAsia" w:hAnsiTheme="minorEastAsia" w:eastAsiaTheme="minorEastAsia" w:cstheme="minorEastAsia"/>
          <w:sz w:val="24"/>
          <w:szCs w:val="24"/>
        </w:rPr>
      </w:pPr>
    </w:p>
    <w:p>
      <w:pPr>
        <w:snapToGrid w:val="0"/>
        <w:spacing w:line="360" w:lineRule="auto"/>
        <w:ind w:firstLine="470" w:firstLineChars="196"/>
        <w:jc w:val="left"/>
        <w:rPr>
          <w:rFonts w:hint="eastAsia" w:asciiTheme="minorEastAsia" w:hAnsiTheme="minorEastAsia" w:eastAsiaTheme="minorEastAsia" w:cstheme="minorEastAsia"/>
          <w:sz w:val="24"/>
          <w:szCs w:val="24"/>
        </w:rPr>
      </w:pPr>
    </w:p>
    <w:p>
      <w:pPr>
        <w:pStyle w:val="7"/>
        <w:keepNext w:val="0"/>
        <w:keepLines w:val="0"/>
        <w:widowControl/>
        <w:numPr>
          <w:ilvl w:val="0"/>
          <w:numId w:val="1"/>
        </w:numPr>
        <w:suppressLineNumbers w:val="0"/>
        <w:spacing w:before="255" w:beforeAutospacing="0" w:after="255" w:afterAutospacing="0" w:line="300" w:lineRule="atLeast"/>
        <w:ind w:left="0" w:leftChars="0" w:right="0" w:firstLine="0" w:firstLineChars="0"/>
        <w:jc w:val="both"/>
        <w:rPr>
          <w:rStyle w:val="12"/>
          <w:rFonts w:hint="eastAsia" w:asciiTheme="minorEastAsia" w:hAnsiTheme="minorEastAsia" w:eastAsiaTheme="minorEastAsia" w:cstheme="minorEastAsia"/>
          <w:b/>
          <w:bCs/>
          <w:kern w:val="2"/>
          <w:sz w:val="32"/>
          <w:szCs w:val="32"/>
          <w:lang w:val="en-US" w:eastAsia="zh-CN" w:bidi="ar-SA"/>
        </w:rPr>
      </w:pPr>
      <w:r>
        <w:rPr>
          <w:rStyle w:val="12"/>
          <w:rFonts w:hint="eastAsia" w:asciiTheme="minorEastAsia" w:hAnsiTheme="minorEastAsia" w:eastAsiaTheme="minorEastAsia" w:cstheme="minorEastAsia"/>
          <w:b/>
          <w:bCs/>
          <w:kern w:val="2"/>
          <w:sz w:val="32"/>
          <w:szCs w:val="32"/>
          <w:lang w:val="en-US" w:eastAsia="zh-CN" w:bidi="ar-SA"/>
        </w:rPr>
        <w:t>评分细则</w:t>
      </w:r>
    </w:p>
    <w:p>
      <w:pPr>
        <w:spacing w:line="360" w:lineRule="auto"/>
        <w:ind w:firstLine="457" w:firstLineChars="196"/>
        <w:rPr>
          <w:rStyle w:val="12"/>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bCs/>
          <w:spacing w:val="-4"/>
          <w:sz w:val="24"/>
          <w:szCs w:val="24"/>
        </w:rPr>
        <w:t>1、商务技术分（0-65分）</w:t>
      </w:r>
    </w:p>
    <w:tbl>
      <w:tblPr>
        <w:tblStyle w:val="9"/>
        <w:tblW w:w="936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788"/>
        <w:gridCol w:w="2639"/>
        <w:gridCol w:w="997"/>
        <w:gridCol w:w="494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2639"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评定项目</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4945" w:type="dxa"/>
            <w:noWrap w:val="0"/>
            <w:vAlign w:val="center"/>
          </w:tcPr>
          <w:p>
            <w:pPr>
              <w:ind w:left="105" w:leftChars="50" w:right="10" w:rightChars="5"/>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评分细则</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对应于招标文件设备技术规格及配置的偏离度</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35</w:t>
            </w:r>
          </w:p>
        </w:tc>
        <w:tc>
          <w:tcPr>
            <w:tcW w:w="4945"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与招标文件第四部分招标内容及要求的设备技术规格及配置对比，实质性条款除外，标注★的技术指标（或功能）偏离每项扣4分，一般技术指标偏离每项扣1分，一般功能偏离每项扣3分，商务要求偏离每项扣3分。扣完为止。</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投标设备配套的合理性</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4945"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评委对投标设备配套的合理性、功能实现程度进行评价：投标设备配套合理、功能实现程度高的，得3分；配套较合理、功能实现程度较高的，得2分；配套合理性一般、不能完全达到临床要求功能的，得1分。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投标设备技术指标的先进性</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4945"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评委对投标设备技术指标的先进性进行评价：技术指标高于招标要求且具有较高临床使用价值的，每项得1分；最高得3分。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投标机型的档次</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4945"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投标机型在产品系列中属高档产品的，得3分；属中等档次产品的，得2分；属低档产品的，得1分。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运行成本</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4945"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包括保修价格、售后服务方案、年运行费用和消耗品或易耗品价格等综合运行成本进行评价。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保修服务</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4945"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设备保修期超过招标文件要求的，每增加1年加1分，增加部分不足1年的不计分。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投标产品总体质量性能</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4945"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投标产品在临床上的使用情况、稳定性、故障率等总体质量性能综合评价。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市场占有率</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4945"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提供20</w:t>
            </w:r>
            <w:r>
              <w:rPr>
                <w:rFonts w:hint="eastAsia" w:asciiTheme="minorEastAsia" w:hAnsiTheme="minorEastAsia" w:eastAsiaTheme="minorEastAsia" w:cstheme="minorEastAsia"/>
                <w:sz w:val="24"/>
                <w:szCs w:val="24"/>
                <w:lang w:val="en-US" w:eastAsia="zh-CN"/>
              </w:rPr>
              <w:t>18</w:t>
            </w:r>
            <w:r>
              <w:rPr>
                <w:rFonts w:hint="eastAsia" w:asciiTheme="minorEastAsia" w:hAnsiTheme="minorEastAsia" w:eastAsiaTheme="minorEastAsia" w:cstheme="minorEastAsia"/>
                <w:sz w:val="24"/>
                <w:szCs w:val="24"/>
              </w:rPr>
              <w:t>年1月1日起至今与最终用户签订的投标机型合同复印件，每份有效合同得0.5分，最多5分。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制造商或代理商的售后服务和维修能力</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4945"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制造商或代理商的售后服务和维修能力，服务响应速度、服务人员水平、备品备件配置等综合评价。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投标人提供的超出招标文件的优惠条件</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4945"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评委对投标文件中是否有超出招标文件的优惠条件进行评议，没有实质性优惠条件得0分；有优惠条件的，根据优惠内容市场价值及实用性大小评分。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70" w:hRule="atLeast"/>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环境标志产品、节能产品评审</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4945"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投标产品列入财政部、发展改革委发布的节能产品品目清单的，提供国家市场监督管理总局公布的《参与实施政府采购节能产品认证机构名录》内的认证机构出具的、处于有效期之内的节能标志产品认证证书的，得1分。</w:t>
            </w:r>
          </w:p>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投标产品列入财政部、生态环境部发布的环境标志产品品目清单的，提供国家市场监督管理总局公布的《参与实施政府采购环境标志产品认证机构名录》内的认证机构出具的、处于有效期之内的环境标志产品认证证书，得1分。</w:t>
            </w:r>
          </w:p>
        </w:tc>
      </w:tr>
    </w:tbl>
    <w:p>
      <w:pPr>
        <w:spacing w:before="120" w:beforeLines="50" w:after="120" w:afterLines="50"/>
        <w:ind w:firstLine="457" w:firstLineChars="196"/>
        <w:jc w:val="both"/>
        <w:rPr>
          <w:rFonts w:hint="eastAsia" w:asciiTheme="minorEastAsia" w:hAnsiTheme="minorEastAsia" w:eastAsiaTheme="minorEastAsia" w:cstheme="minorEastAsia"/>
          <w:b/>
          <w:bCs/>
          <w:spacing w:val="-4"/>
          <w:sz w:val="24"/>
          <w:szCs w:val="24"/>
        </w:rPr>
      </w:pPr>
      <w:r>
        <w:rPr>
          <w:rFonts w:hint="eastAsia" w:asciiTheme="minorEastAsia" w:hAnsiTheme="minorEastAsia" w:eastAsiaTheme="minorEastAsia" w:cstheme="minorEastAsia"/>
          <w:b/>
          <w:spacing w:val="-4"/>
          <w:sz w:val="24"/>
          <w:szCs w:val="24"/>
        </w:rPr>
        <w:t>2、</w:t>
      </w:r>
      <w:r>
        <w:rPr>
          <w:rFonts w:hint="eastAsia" w:asciiTheme="minorEastAsia" w:hAnsiTheme="minorEastAsia" w:eastAsiaTheme="minorEastAsia" w:cstheme="minorEastAsia"/>
          <w:b/>
          <w:bCs/>
          <w:spacing w:val="-4"/>
          <w:sz w:val="24"/>
          <w:szCs w:val="24"/>
        </w:rPr>
        <w:t>价格分（0-35分）</w:t>
      </w:r>
    </w:p>
    <w:p>
      <w:pPr>
        <w:pStyle w:val="7"/>
        <w:keepNext w:val="0"/>
        <w:keepLines w:val="0"/>
        <w:widowControl/>
        <w:numPr>
          <w:ilvl w:val="0"/>
          <w:numId w:val="1"/>
        </w:numPr>
        <w:suppressLineNumbers w:val="0"/>
        <w:spacing w:before="255" w:beforeAutospacing="0" w:after="255" w:afterAutospacing="0" w:line="300" w:lineRule="atLeast"/>
        <w:ind w:left="0" w:leftChars="0" w:right="0" w:firstLine="0" w:firstLineChars="0"/>
        <w:jc w:val="both"/>
        <w:rPr>
          <w:rFonts w:hint="eastAsia" w:asciiTheme="minorEastAsia" w:hAnsiTheme="minorEastAsia" w:eastAsiaTheme="minorEastAsia" w:cstheme="minorEastAsia"/>
          <w:bCs/>
          <w:spacing w:val="-4"/>
          <w:sz w:val="24"/>
          <w:szCs w:val="24"/>
        </w:rPr>
      </w:pPr>
      <w:r>
        <w:rPr>
          <w:rFonts w:hint="eastAsia" w:asciiTheme="minorEastAsia" w:hAnsiTheme="minorEastAsia" w:eastAsiaTheme="minorEastAsia" w:cstheme="minorEastAsia"/>
          <w:bCs/>
          <w:spacing w:val="-4"/>
          <w:sz w:val="24"/>
          <w:szCs w:val="24"/>
        </w:rPr>
        <w:t>价格分采用低价优先法计算，即满足招标文件要求且投标报价最低的投标报价为评标基准价，其得分为满分35分。其他投标人的价格分按照下列公式计算：</w:t>
      </w:r>
    </w:p>
    <w:p>
      <w:pPr>
        <w:spacing w:before="120" w:beforeLines="50" w:after="120" w:afterLines="50"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价格分=（评标基准价/</w:t>
      </w:r>
      <w:r>
        <w:rPr>
          <w:rFonts w:hint="eastAsia" w:asciiTheme="minorEastAsia" w:hAnsiTheme="minorEastAsia" w:eastAsiaTheme="minorEastAsia" w:cstheme="minorEastAsia"/>
          <w:bCs/>
          <w:spacing w:val="-4"/>
          <w:sz w:val="24"/>
          <w:szCs w:val="24"/>
        </w:rPr>
        <w:t>投标报价</w:t>
      </w:r>
      <w:r>
        <w:rPr>
          <w:rFonts w:hint="eastAsia" w:asciiTheme="minorEastAsia" w:hAnsiTheme="minorEastAsia" w:eastAsiaTheme="minorEastAsia" w:cstheme="minorEastAsia"/>
          <w:sz w:val="24"/>
          <w:szCs w:val="24"/>
        </w:rPr>
        <w:t>）×35%×100</w:t>
      </w:r>
    </w:p>
    <w:p>
      <w:pPr>
        <w:numPr>
          <w:ilvl w:val="0"/>
          <w:numId w:val="2"/>
        </w:numPr>
        <w:ind w:firstLine="482" w:firstLineChars="200"/>
        <w:jc w:val="left"/>
        <w:rPr>
          <w:sz w:val="24"/>
        </w:rPr>
      </w:pPr>
      <w:r>
        <w:rPr>
          <w:rFonts w:hint="eastAsia" w:asciiTheme="minorEastAsia" w:hAnsiTheme="minorEastAsia" w:eastAsiaTheme="minorEastAsia" w:cstheme="minorEastAsia"/>
          <w:b/>
          <w:bCs w:val="0"/>
          <w:sz w:val="24"/>
          <w:szCs w:val="24"/>
          <w:lang w:val="en-US" w:eastAsia="zh-CN"/>
        </w:rPr>
        <w:t>总分：</w:t>
      </w:r>
      <w:r>
        <w:rPr>
          <w:rFonts w:hint="eastAsia" w:asciiTheme="minorEastAsia" w:hAnsiTheme="minorEastAsia" w:eastAsiaTheme="minorEastAsia" w:cstheme="minorEastAsia"/>
          <w:sz w:val="24"/>
          <w:szCs w:val="24"/>
        </w:rPr>
        <w:t>投标人的综合得分为以上商务技术分及价格分之和</w:t>
      </w:r>
      <w:r>
        <w:rPr>
          <w:sz w:val="24"/>
        </w:rPr>
        <w:t>。</w:t>
      </w:r>
    </w:p>
    <w:p>
      <w:pPr>
        <w:widowControl w:val="0"/>
        <w:numPr>
          <w:ilvl w:val="0"/>
          <w:numId w:val="0"/>
        </w:numPr>
        <w:jc w:val="left"/>
        <w:rPr>
          <w:sz w:val="24"/>
        </w:rPr>
      </w:pPr>
    </w:p>
    <w:p>
      <w:pPr>
        <w:widowControl w:val="0"/>
        <w:numPr>
          <w:ilvl w:val="0"/>
          <w:numId w:val="0"/>
        </w:numPr>
        <w:jc w:val="left"/>
        <w:rPr>
          <w:sz w:val="24"/>
        </w:rPr>
      </w:pPr>
    </w:p>
    <w:p>
      <w:pPr>
        <w:widowControl w:val="0"/>
        <w:numPr>
          <w:ilvl w:val="0"/>
          <w:numId w:val="0"/>
        </w:numPr>
        <w:jc w:val="left"/>
        <w:rPr>
          <w:sz w:val="24"/>
        </w:rPr>
      </w:pPr>
    </w:p>
    <w:p>
      <w:pPr>
        <w:widowControl w:val="0"/>
        <w:numPr>
          <w:ilvl w:val="0"/>
          <w:numId w:val="0"/>
        </w:numPr>
        <w:jc w:val="left"/>
        <w:rPr>
          <w:sz w:val="24"/>
        </w:rPr>
      </w:pPr>
    </w:p>
    <w:p>
      <w:pPr>
        <w:widowControl w:val="0"/>
        <w:numPr>
          <w:ilvl w:val="0"/>
          <w:numId w:val="0"/>
        </w:numPr>
        <w:jc w:val="left"/>
        <w:rPr>
          <w:sz w:val="24"/>
        </w:rPr>
      </w:pPr>
    </w:p>
    <w:p>
      <w:pPr>
        <w:widowControl w:val="0"/>
        <w:numPr>
          <w:ilvl w:val="0"/>
          <w:numId w:val="0"/>
        </w:numPr>
        <w:jc w:val="left"/>
        <w:rPr>
          <w:sz w:val="24"/>
        </w:rPr>
      </w:pPr>
    </w:p>
    <w:p>
      <w:pPr>
        <w:widowControl w:val="0"/>
        <w:numPr>
          <w:ilvl w:val="0"/>
          <w:numId w:val="0"/>
        </w:numPr>
        <w:jc w:val="left"/>
        <w:rPr>
          <w:sz w:val="24"/>
        </w:rPr>
      </w:pPr>
    </w:p>
    <w:p>
      <w:pPr>
        <w:widowControl w:val="0"/>
        <w:numPr>
          <w:ilvl w:val="0"/>
          <w:numId w:val="0"/>
        </w:numPr>
        <w:jc w:val="left"/>
        <w:rPr>
          <w:sz w:val="24"/>
        </w:rPr>
      </w:pPr>
    </w:p>
    <w:p>
      <w:pPr>
        <w:widowControl w:val="0"/>
        <w:numPr>
          <w:ilvl w:val="0"/>
          <w:numId w:val="0"/>
        </w:numPr>
        <w:jc w:val="left"/>
        <w:rPr>
          <w:sz w:val="24"/>
        </w:rPr>
      </w:pPr>
    </w:p>
    <w:p>
      <w:pPr>
        <w:widowControl w:val="0"/>
        <w:numPr>
          <w:ilvl w:val="0"/>
          <w:numId w:val="0"/>
        </w:numPr>
        <w:jc w:val="left"/>
        <w:rPr>
          <w:sz w:val="24"/>
        </w:rPr>
      </w:pPr>
    </w:p>
    <w:p>
      <w:pPr>
        <w:numPr>
          <w:ilvl w:val="0"/>
          <w:numId w:val="0"/>
        </w:numPr>
        <w:jc w:val="left"/>
        <w:rPr>
          <w:rFonts w:hint="eastAsia"/>
          <w:b/>
          <w:bCs/>
          <w:sz w:val="24"/>
          <w:lang w:val="en-US" w:eastAsia="zh-CN"/>
        </w:rPr>
      </w:pPr>
    </w:p>
    <w:p>
      <w:pPr>
        <w:pStyle w:val="7"/>
        <w:keepNext w:val="0"/>
        <w:keepLines w:val="0"/>
        <w:widowControl/>
        <w:numPr>
          <w:ilvl w:val="0"/>
          <w:numId w:val="0"/>
        </w:numPr>
        <w:suppressLineNumbers w:val="0"/>
        <w:spacing w:before="255" w:beforeAutospacing="0" w:after="255" w:afterAutospacing="0" w:line="300" w:lineRule="atLeast"/>
        <w:ind w:leftChars="0" w:right="0" w:rightChars="0"/>
        <w:jc w:val="both"/>
        <w:rPr>
          <w:rStyle w:val="12"/>
          <w:rFonts w:hint="default" w:eastAsia="宋体" w:asciiTheme="minorEastAsia" w:hAnsiTheme="minorEastAsia" w:cstheme="minorEastAsia"/>
          <w:b/>
          <w:bCs/>
          <w:kern w:val="2"/>
          <w:sz w:val="32"/>
          <w:szCs w:val="32"/>
          <w:lang w:val="en-US" w:eastAsia="zh-CN" w:bidi="ar-SA"/>
        </w:rPr>
      </w:pPr>
      <w:r>
        <w:rPr>
          <w:rStyle w:val="12"/>
          <w:rFonts w:hint="eastAsia" w:eastAsia="宋体" w:asciiTheme="minorEastAsia" w:hAnsiTheme="minorEastAsia" w:cstheme="minorEastAsia"/>
          <w:b/>
          <w:bCs/>
          <w:kern w:val="2"/>
          <w:sz w:val="32"/>
          <w:szCs w:val="32"/>
          <w:lang w:val="en-US" w:eastAsia="zh-CN" w:bidi="ar-SA"/>
        </w:rPr>
        <w:t>九、我院正式合同版本</w:t>
      </w:r>
    </w:p>
    <w:p>
      <w:pPr>
        <w:pStyle w:val="8"/>
        <w:rPr>
          <w:rFonts w:hint="eastAsia"/>
          <w:sz w:val="30"/>
          <w:szCs w:val="30"/>
        </w:rPr>
      </w:pPr>
    </w:p>
    <w:p>
      <w:pPr>
        <w:pStyle w:val="8"/>
        <w:rPr>
          <w:sz w:val="44"/>
        </w:rPr>
      </w:pPr>
      <w:r>
        <w:rPr>
          <w:rFonts w:hint="eastAsia"/>
          <w:sz w:val="30"/>
          <w:szCs w:val="30"/>
        </w:rPr>
        <w:t>温州市中医院医疗设备采购合同</w:t>
      </w:r>
    </w:p>
    <w:p>
      <w:pPr>
        <w:rPr>
          <w:w w:val="95"/>
        </w:rPr>
      </w:pPr>
      <w:r>
        <w:rPr>
          <w:rFonts w:hint="eastAsia"/>
          <w:w w:val="95"/>
        </w:rPr>
        <w:t xml:space="preserve">                                          </w:t>
      </w:r>
      <w:r>
        <w:rPr>
          <w:rFonts w:hint="eastAsia" w:asciiTheme="minorEastAsia" w:hAnsiTheme="minorEastAsia" w:eastAsiaTheme="minorEastAsia" w:cstheme="minorEastAsia"/>
          <w:color w:val="000000" w:themeColor="text1"/>
          <w:kern w:val="0"/>
          <w:sz w:val="24"/>
          <w:szCs w:val="24"/>
          <w:lang w:val="zh-CN" w:eastAsia="zh-CN" w:bidi="zh-CN"/>
          <w14:textFill>
            <w14:solidFill>
              <w14:schemeClr w14:val="tx1"/>
            </w14:solidFill>
          </w14:textFill>
        </w:rPr>
        <w:t>合同编号：</w:t>
      </w:r>
      <w:r>
        <w:rPr>
          <w:rFonts w:hint="eastAsia"/>
          <w:w w:val="95"/>
        </w:rPr>
        <w:t xml:space="preserve">          </w:t>
      </w:r>
    </w:p>
    <w:p>
      <w:pPr>
        <w:spacing w:before="107" w:line="220" w:lineRule="atLeast"/>
        <w:ind w:left="105"/>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甲方（采购单位）：温州市中医院</w:t>
      </w:r>
    </w:p>
    <w:p>
      <w:pPr>
        <w:spacing w:before="107" w:line="220" w:lineRule="atLeast"/>
        <w:ind w:left="105"/>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乙方（供应商）： </w:t>
      </w:r>
    </w:p>
    <w:p>
      <w:pPr>
        <w:pStyle w:val="3"/>
        <w:spacing w:before="106"/>
        <w:ind w:left="111" w:right="209" w:firstLine="600" w:firstLineChars="25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sz w:val="24"/>
          <w:szCs w:val="24"/>
        </w:rPr>
        <w:t>根据《中华人民共</w:t>
      </w:r>
      <w:r>
        <w:rPr>
          <w:rFonts w:hint="eastAsia" w:asciiTheme="minorEastAsia" w:hAnsiTheme="minorEastAsia" w:eastAsiaTheme="minorEastAsia" w:cstheme="minorEastAsia"/>
          <w:color w:val="000000" w:themeColor="text1"/>
          <w:sz w:val="24"/>
          <w:szCs w:val="24"/>
          <w14:textFill>
            <w14:solidFill>
              <w14:schemeClr w14:val="tx1"/>
            </w14:solidFill>
          </w14:textFill>
        </w:rPr>
        <w:t>和国政府采购法》、《中华人民共和国民法典》等相关法律法规，以及</w:t>
      </w:r>
      <w:r>
        <w:rPr>
          <w:rFonts w:hint="eastAsia" w:asciiTheme="minorEastAsia" w:hAnsiTheme="minorEastAsia" w:eastAsiaTheme="minorEastAsia" w:cstheme="minorEastAsia"/>
          <w:color w:val="000000" w:themeColor="text1"/>
          <w:sz w:val="24"/>
          <w:szCs w:val="24"/>
          <w:u w:val="single"/>
          <w:lang w:val="en-US"/>
          <w14:textFill>
            <w14:solidFill>
              <w14:schemeClr w14:val="tx1"/>
            </w14:solidFill>
          </w14:textFill>
        </w:rPr>
        <w:t>(招标编号)</w:t>
      </w:r>
      <w:r>
        <w:rPr>
          <w:rFonts w:hint="eastAsia" w:asciiTheme="minorEastAsia" w:hAnsiTheme="minorEastAsia" w:eastAsiaTheme="minorEastAsia" w:cstheme="minorEastAsia"/>
          <w:color w:val="000000" w:themeColor="text1"/>
          <w:w w:val="95"/>
          <w:sz w:val="24"/>
          <w:szCs w:val="24"/>
          <w14:textFill>
            <w14:solidFill>
              <w14:schemeClr w14:val="tx1"/>
            </w14:solidFill>
          </w14:textFill>
        </w:rPr>
        <w:t>项</w:t>
      </w:r>
      <w:r>
        <w:rPr>
          <w:rFonts w:hint="eastAsia" w:asciiTheme="minorEastAsia" w:hAnsiTheme="minorEastAsia" w:eastAsiaTheme="minorEastAsia" w:cstheme="minorEastAsia"/>
          <w:color w:val="000000" w:themeColor="text1"/>
          <w:sz w:val="24"/>
          <w:szCs w:val="24"/>
          <w14:textFill>
            <w14:solidFill>
              <w14:schemeClr w14:val="tx1"/>
            </w14:solidFill>
          </w14:textFill>
        </w:rPr>
        <w:t>目（以下简称“项目”）招标文件、中标供应商投标文件、项目采购协议，或入围承诺书，甲乙双方经协商一致，签署本合同。</w:t>
      </w:r>
    </w:p>
    <w:p>
      <w:pPr>
        <w:pStyle w:val="2"/>
        <w:numPr>
          <w:ilvl w:val="0"/>
          <w:numId w:val="3"/>
        </w:numPr>
        <w:spacing w:before="84" w:after="13"/>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货物内容及合同价格</w:t>
      </w:r>
    </w:p>
    <w:tbl>
      <w:tblPr>
        <w:tblStyle w:val="9"/>
        <w:tblW w:w="8364" w:type="dxa"/>
        <w:tblInd w:w="-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134"/>
        <w:gridCol w:w="1418"/>
        <w:gridCol w:w="1559"/>
        <w:gridCol w:w="2126"/>
        <w:gridCol w:w="993"/>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9" w:hRule="atLeast"/>
        </w:trPr>
        <w:tc>
          <w:tcPr>
            <w:tcW w:w="1134" w:type="dxa"/>
            <w:vAlign w:val="center"/>
          </w:tcPr>
          <w:p>
            <w:pPr>
              <w:pStyle w:val="16"/>
              <w:spacing w:before="116"/>
              <w:jc w:val="center"/>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货物名称</w:t>
            </w:r>
          </w:p>
        </w:tc>
        <w:tc>
          <w:tcPr>
            <w:tcW w:w="1418" w:type="dxa"/>
            <w:vAlign w:val="center"/>
          </w:tcPr>
          <w:p>
            <w:pPr>
              <w:pStyle w:val="16"/>
              <w:spacing w:before="116"/>
              <w:ind w:right="276"/>
              <w:jc w:val="center"/>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品牌</w:t>
            </w:r>
          </w:p>
        </w:tc>
        <w:tc>
          <w:tcPr>
            <w:tcW w:w="1559" w:type="dxa"/>
            <w:vAlign w:val="center"/>
          </w:tcPr>
          <w:p>
            <w:pPr>
              <w:pStyle w:val="16"/>
              <w:spacing w:before="116"/>
              <w:ind w:left="287" w:right="276"/>
              <w:jc w:val="center"/>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型号规格</w:t>
            </w:r>
          </w:p>
        </w:tc>
        <w:tc>
          <w:tcPr>
            <w:tcW w:w="2126" w:type="dxa"/>
            <w:vAlign w:val="center"/>
          </w:tcPr>
          <w:p>
            <w:pPr>
              <w:pStyle w:val="16"/>
              <w:spacing w:before="116"/>
              <w:ind w:left="71" w:right="61"/>
              <w:jc w:val="center"/>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配置要求</w:t>
            </w:r>
          </w:p>
        </w:tc>
        <w:tc>
          <w:tcPr>
            <w:tcW w:w="993" w:type="dxa"/>
            <w:vAlign w:val="center"/>
          </w:tcPr>
          <w:p>
            <w:pPr>
              <w:pStyle w:val="16"/>
              <w:spacing w:before="116"/>
              <w:ind w:left="71" w:right="61"/>
              <w:jc w:val="center"/>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数量</w:t>
            </w:r>
          </w:p>
        </w:tc>
        <w:tc>
          <w:tcPr>
            <w:tcW w:w="1134" w:type="dxa"/>
            <w:vAlign w:val="center"/>
          </w:tcPr>
          <w:p>
            <w:pPr>
              <w:pStyle w:val="16"/>
              <w:spacing w:before="116"/>
              <w:ind w:left="71" w:right="62"/>
              <w:jc w:val="center"/>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单价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3" w:hRule="atLeast"/>
        </w:trPr>
        <w:tc>
          <w:tcPr>
            <w:tcW w:w="1134" w:type="dxa"/>
            <w:vAlign w:val="center"/>
          </w:tcPr>
          <w:p>
            <w:pPr>
              <w:pStyle w:val="16"/>
              <w:jc w:val="center"/>
              <w:rPr>
                <w:rFonts w:hint="eastAsia" w:asciiTheme="minorEastAsia" w:hAnsiTheme="minorEastAsia" w:eastAsiaTheme="minorEastAsia" w:cstheme="minorEastAsia"/>
                <w:b/>
                <w:color w:val="000000" w:themeColor="text1"/>
                <w:sz w:val="24"/>
                <w:szCs w:val="24"/>
                <w:lang w:val="en-US"/>
                <w14:textFill>
                  <w14:solidFill>
                    <w14:schemeClr w14:val="tx1"/>
                  </w14:solidFill>
                </w14:textFill>
              </w:rPr>
            </w:pPr>
          </w:p>
        </w:tc>
        <w:tc>
          <w:tcPr>
            <w:tcW w:w="1418" w:type="dxa"/>
            <w:vAlign w:val="center"/>
          </w:tcPr>
          <w:p>
            <w:pPr>
              <w:pStyle w:val="16"/>
              <w:jc w:val="center"/>
              <w:rPr>
                <w:rFonts w:hint="eastAsia" w:asciiTheme="minorEastAsia" w:hAnsiTheme="minorEastAsia" w:eastAsiaTheme="minorEastAsia" w:cstheme="minorEastAsia"/>
                <w:b/>
                <w:color w:val="000000" w:themeColor="text1"/>
                <w:sz w:val="24"/>
                <w:szCs w:val="24"/>
                <w:lang w:val="en-US"/>
                <w14:textFill>
                  <w14:solidFill>
                    <w14:schemeClr w14:val="tx1"/>
                  </w14:solidFill>
                </w14:textFill>
              </w:rPr>
            </w:pPr>
          </w:p>
        </w:tc>
        <w:tc>
          <w:tcPr>
            <w:tcW w:w="1559" w:type="dxa"/>
            <w:vAlign w:val="center"/>
          </w:tcPr>
          <w:p>
            <w:pPr>
              <w:pStyle w:val="16"/>
              <w:jc w:val="center"/>
              <w:rPr>
                <w:rFonts w:hint="eastAsia" w:asciiTheme="minorEastAsia" w:hAnsiTheme="minorEastAsia" w:eastAsiaTheme="minorEastAsia" w:cstheme="minorEastAsia"/>
                <w:b/>
                <w:color w:val="000000" w:themeColor="text1"/>
                <w:sz w:val="24"/>
                <w:szCs w:val="24"/>
                <w:lang w:val="en-US"/>
                <w14:textFill>
                  <w14:solidFill>
                    <w14:schemeClr w14:val="tx1"/>
                  </w14:solidFill>
                </w14:textFill>
              </w:rPr>
            </w:pPr>
          </w:p>
        </w:tc>
        <w:tc>
          <w:tcPr>
            <w:tcW w:w="2126" w:type="dxa"/>
            <w:vAlign w:val="center"/>
          </w:tcPr>
          <w:p>
            <w:pPr>
              <w:pStyle w:val="16"/>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993" w:type="dxa"/>
            <w:vAlign w:val="center"/>
          </w:tcPr>
          <w:p>
            <w:pPr>
              <w:pStyle w:val="16"/>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134" w:type="dxa"/>
            <w:vAlign w:val="center"/>
          </w:tcPr>
          <w:p>
            <w:pPr>
              <w:pStyle w:val="16"/>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3" w:hRule="atLeast"/>
        </w:trPr>
        <w:tc>
          <w:tcPr>
            <w:tcW w:w="1134" w:type="dxa"/>
            <w:vAlign w:val="center"/>
          </w:tcPr>
          <w:p>
            <w:pPr>
              <w:pStyle w:val="16"/>
              <w:jc w:val="center"/>
              <w:rPr>
                <w:rFonts w:hint="eastAsia" w:asciiTheme="minorEastAsia" w:hAnsiTheme="minorEastAsia" w:eastAsiaTheme="minorEastAsia" w:cstheme="minorEastAsia"/>
                <w:b/>
                <w:color w:val="000000" w:themeColor="text1"/>
                <w:sz w:val="24"/>
                <w:szCs w:val="24"/>
                <w:lang w:val="en-US"/>
                <w14:textFill>
                  <w14:solidFill>
                    <w14:schemeClr w14:val="tx1"/>
                  </w14:solidFill>
                </w14:textFill>
              </w:rPr>
            </w:pPr>
          </w:p>
        </w:tc>
        <w:tc>
          <w:tcPr>
            <w:tcW w:w="1418" w:type="dxa"/>
            <w:vAlign w:val="center"/>
          </w:tcPr>
          <w:p>
            <w:pPr>
              <w:pStyle w:val="16"/>
              <w:jc w:val="center"/>
              <w:rPr>
                <w:rFonts w:hint="eastAsia" w:asciiTheme="minorEastAsia" w:hAnsiTheme="minorEastAsia" w:eastAsiaTheme="minorEastAsia" w:cstheme="minorEastAsia"/>
                <w:b/>
                <w:color w:val="000000" w:themeColor="text1"/>
                <w:sz w:val="24"/>
                <w:szCs w:val="24"/>
                <w:lang w:val="en-US"/>
                <w14:textFill>
                  <w14:solidFill>
                    <w14:schemeClr w14:val="tx1"/>
                  </w14:solidFill>
                </w14:textFill>
              </w:rPr>
            </w:pPr>
          </w:p>
        </w:tc>
        <w:tc>
          <w:tcPr>
            <w:tcW w:w="1559" w:type="dxa"/>
            <w:vAlign w:val="center"/>
          </w:tcPr>
          <w:p>
            <w:pPr>
              <w:pStyle w:val="16"/>
              <w:jc w:val="center"/>
              <w:rPr>
                <w:rFonts w:hint="eastAsia" w:asciiTheme="minorEastAsia" w:hAnsiTheme="minorEastAsia" w:eastAsiaTheme="minorEastAsia" w:cstheme="minorEastAsia"/>
                <w:b/>
                <w:color w:val="000000" w:themeColor="text1"/>
                <w:sz w:val="24"/>
                <w:szCs w:val="24"/>
                <w:lang w:val="en-US"/>
                <w14:textFill>
                  <w14:solidFill>
                    <w14:schemeClr w14:val="tx1"/>
                  </w14:solidFill>
                </w14:textFill>
              </w:rPr>
            </w:pPr>
          </w:p>
        </w:tc>
        <w:tc>
          <w:tcPr>
            <w:tcW w:w="2126" w:type="dxa"/>
            <w:vAlign w:val="center"/>
          </w:tcPr>
          <w:p>
            <w:pPr>
              <w:pStyle w:val="16"/>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993" w:type="dxa"/>
            <w:vAlign w:val="center"/>
          </w:tcPr>
          <w:p>
            <w:pPr>
              <w:pStyle w:val="16"/>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134" w:type="dxa"/>
            <w:vAlign w:val="center"/>
          </w:tcPr>
          <w:p>
            <w:pPr>
              <w:pStyle w:val="16"/>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5" w:hRule="atLeast"/>
        </w:trPr>
        <w:tc>
          <w:tcPr>
            <w:tcW w:w="8364" w:type="dxa"/>
            <w:gridSpan w:val="6"/>
          </w:tcPr>
          <w:p>
            <w:pPr>
              <w:pStyle w:val="16"/>
              <w:spacing w:before="116"/>
              <w:ind w:firstLine="1920" w:firstLineChars="8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合同总价大写</w:t>
            </w:r>
            <w:r>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元整                           小写：￥</w:t>
            </w:r>
          </w:p>
        </w:tc>
      </w:tr>
    </w:tbl>
    <w:p>
      <w:pPr>
        <w:ind w:right="1636"/>
        <w:jc w:val="righ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金额单位：元</w:t>
      </w:r>
    </w:p>
    <w:p>
      <w:pPr>
        <w:pStyle w:val="3"/>
        <w:spacing w:line="0" w:lineRule="atLeast"/>
        <w:ind w:right="21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注：1、商品型号、数量、配置要求及使用单位地址等详见附件清单</w:t>
      </w:r>
    </w:p>
    <w:p>
      <w:pPr>
        <w:pStyle w:val="3"/>
        <w:spacing w:line="0" w:lineRule="atLeast"/>
        <w:ind w:left="105" w:right="21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2、以上合同总价包含货物到达用户并能正常使用所需的一切费用，包括但不限于包装费、运输费、装卸费、保险费、安装调试费、技术服务费、培训费以及保修费、税费等。</w:t>
      </w:r>
    </w:p>
    <w:p>
      <w:pPr>
        <w:pStyle w:val="2"/>
        <w:spacing w:before="85"/>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二、技术资料</w:t>
      </w:r>
    </w:p>
    <w:p>
      <w:pPr>
        <w:pStyle w:val="17"/>
        <w:numPr>
          <w:ilvl w:val="0"/>
          <w:numId w:val="4"/>
        </w:numPr>
        <w:tabs>
          <w:tab w:val="left" w:pos="522"/>
        </w:tabs>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乙方应按招标文件规定的时间向甲方提供使用货物的有关技术资料。</w:t>
      </w:r>
    </w:p>
    <w:p>
      <w:pPr>
        <w:pStyle w:val="17"/>
        <w:numPr>
          <w:ilvl w:val="0"/>
          <w:numId w:val="4"/>
        </w:numPr>
        <w:tabs>
          <w:tab w:val="left" w:pos="522"/>
        </w:tabs>
        <w:ind w:left="111" w:right="101" w:firstLine="24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pStyle w:val="2"/>
        <w:spacing w:before="86"/>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三、知识产权</w:t>
      </w:r>
    </w:p>
    <w:p>
      <w:pPr>
        <w:pStyle w:val="3"/>
        <w:spacing w:before="22"/>
        <w:ind w:left="351"/>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乙方应保证所提供的货物或其任何一部分均不会侵犯任何第三方的知识产权。</w:t>
      </w:r>
    </w:p>
    <w:p>
      <w:pPr>
        <w:pStyle w:val="2"/>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四、产权担保</w:t>
      </w:r>
    </w:p>
    <w:p>
      <w:pPr>
        <w:pStyle w:val="3"/>
        <w:spacing w:before="23"/>
        <w:ind w:left="351"/>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乙方保证所交付的货物的所有权完全属于乙方且无任何抵押、查封等产权瑕疵。</w:t>
      </w:r>
    </w:p>
    <w:p>
      <w:pPr>
        <w:pStyle w:val="2"/>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五、转包或分包</w:t>
      </w:r>
    </w:p>
    <w:p>
      <w:pPr>
        <w:pStyle w:val="3"/>
        <w:spacing w:before="22"/>
        <w:ind w:left="351"/>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本合同范围的货物，应由乙方直接供应，不得转让他人供应，否则，甲方有权解除合同，没收质量保证金并追究乙方的违约责任。</w:t>
      </w:r>
    </w:p>
    <w:p>
      <w:pPr>
        <w:pStyle w:val="2"/>
        <w:spacing w:before="107"/>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六、质保期和质保金</w:t>
      </w:r>
    </w:p>
    <w:p>
      <w:pPr>
        <w:pStyle w:val="17"/>
        <w:numPr>
          <w:ilvl w:val="0"/>
          <w:numId w:val="5"/>
        </w:numPr>
        <w:tabs>
          <w:tab w:val="left" w:pos="522"/>
        </w:tabs>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6"/>
          <w:sz w:val="24"/>
          <w:szCs w:val="24"/>
          <w14:textFill>
            <w14:solidFill>
              <w14:schemeClr w14:val="tx1"/>
            </w14:solidFill>
          </w14:textFill>
        </w:rPr>
        <w:t>质保期为</w:t>
      </w:r>
      <w:r>
        <w:rPr>
          <w:rFonts w:hint="eastAsia" w:asciiTheme="minorEastAsia" w:hAnsiTheme="minorEastAsia" w:eastAsiaTheme="minorEastAsia" w:cstheme="minorEastAsia"/>
          <w:color w:val="000000" w:themeColor="text1"/>
          <w:spacing w:val="-6"/>
          <w:sz w:val="24"/>
          <w:szCs w:val="24"/>
          <w:u w:val="single"/>
          <w:lang w:val="en-US"/>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6"/>
          <w:sz w:val="24"/>
          <w:szCs w:val="24"/>
          <w:lang w:val="en-US"/>
          <w14:textFill>
            <w14:solidFill>
              <w14:schemeClr w14:val="tx1"/>
            </w14:solidFill>
          </w14:textFill>
        </w:rPr>
        <w:t>年</w:t>
      </w:r>
      <w:r>
        <w:rPr>
          <w:rFonts w:hint="eastAsia" w:asciiTheme="minorEastAsia" w:hAnsiTheme="minorEastAsia" w:eastAsiaTheme="minorEastAsia" w:cstheme="minorEastAsia"/>
          <w:color w:val="000000" w:themeColor="text1"/>
          <w:sz w:val="24"/>
          <w:szCs w:val="24"/>
          <w14:textFill>
            <w14:solidFill>
              <w14:schemeClr w14:val="tx1"/>
            </w14:solidFill>
          </w14:textFill>
        </w:rPr>
        <w:t>。（自交货验收合格之日起计）</w:t>
      </w:r>
    </w:p>
    <w:p>
      <w:pPr>
        <w:pStyle w:val="17"/>
        <w:numPr>
          <w:ilvl w:val="0"/>
          <w:numId w:val="5"/>
        </w:numPr>
        <w:tabs>
          <w:tab w:val="left" w:pos="522"/>
          <w:tab w:val="left" w:pos="1347"/>
        </w:tabs>
        <w:spacing w:before="70"/>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质保金</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u w:val="single" w:color="4068E0"/>
          <w:lang w:val="en-US"/>
          <w14:textFill>
            <w14:solidFill>
              <w14:schemeClr w14:val="tx1"/>
            </w14:solidFill>
          </w14:textFill>
        </w:rPr>
        <w:t>0</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ab/>
      </w:r>
      <w:r>
        <w:rPr>
          <w:rFonts w:hint="eastAsia" w:asciiTheme="minorEastAsia" w:hAnsiTheme="minorEastAsia" w:eastAsiaTheme="minorEastAsia" w:cstheme="minorEastAsia"/>
          <w:color w:val="000000" w:themeColor="text1"/>
          <w:sz w:val="24"/>
          <w:szCs w:val="24"/>
          <w14:textFill>
            <w14:solidFill>
              <w14:schemeClr w14:val="tx1"/>
            </w14:solidFill>
          </w14:textFill>
        </w:rPr>
        <w:t>元。</w:t>
      </w:r>
      <w:r>
        <w:rPr>
          <w:rFonts w:hint="eastAsia" w:asciiTheme="minorEastAsia" w:hAnsiTheme="minorEastAsia" w:eastAsiaTheme="minorEastAsia" w:cstheme="minorEastAsia"/>
          <w:color w:val="000000" w:themeColor="text1"/>
          <w:spacing w:val="-5"/>
          <w:sz w:val="24"/>
          <w:szCs w:val="24"/>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质量保证金于合同签订后</w:t>
      </w:r>
      <w:r>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t xml:space="preserve">    日内</w:t>
      </w:r>
      <w:r>
        <w:rPr>
          <w:rFonts w:hint="eastAsia" w:asciiTheme="minorEastAsia" w:hAnsiTheme="minorEastAsia" w:eastAsiaTheme="minorEastAsia" w:cstheme="minorEastAsia"/>
          <w:color w:val="000000" w:themeColor="text1"/>
          <w:sz w:val="24"/>
          <w:szCs w:val="24"/>
          <w14:textFill>
            <w14:solidFill>
              <w14:schemeClr w14:val="tx1"/>
            </w14:solidFill>
          </w14:textFill>
        </w:rPr>
        <w:t>交给采购单位，在合同约定交货验收合格满（</w:t>
      </w:r>
      <w:r>
        <w:rPr>
          <w:rFonts w:hint="eastAsia" w:asciiTheme="minorEastAsia" w:hAnsiTheme="minorEastAsia" w:eastAsiaTheme="minorEastAsia" w:cstheme="minorEastAsia"/>
          <w:color w:val="000000" w:themeColor="text1"/>
          <w:spacing w:val="-28"/>
          <w:sz w:val="24"/>
          <w:szCs w:val="24"/>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28"/>
          <w:sz w:val="24"/>
          <w:szCs w:val="24"/>
          <w:lang w:val="en-US"/>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）个月之日起</w:t>
      </w:r>
      <w:r>
        <w:rPr>
          <w:rFonts w:hint="eastAsia" w:asciiTheme="minorEastAsia" w:hAnsiTheme="minorEastAsia" w:eastAsiaTheme="minorEastAsia" w:cstheme="minorEastAsia"/>
          <w:color w:val="000000" w:themeColor="text1"/>
          <w:spacing w:val="-28"/>
          <w:sz w:val="24"/>
          <w:szCs w:val="24"/>
          <w:lang w:val="en-US"/>
          <w14:textFill>
            <w14:solidFill>
              <w14:schemeClr w14:val="tx1"/>
            </w14:solidFill>
          </w14:textFill>
        </w:rPr>
        <w:t xml:space="preserve"> 5 </w:t>
      </w:r>
      <w:r>
        <w:rPr>
          <w:rFonts w:hint="eastAsia" w:asciiTheme="minorEastAsia" w:hAnsiTheme="minorEastAsia" w:eastAsiaTheme="minorEastAsia" w:cstheme="minorEastAsia"/>
          <w:color w:val="000000" w:themeColor="text1"/>
          <w:sz w:val="24"/>
          <w:szCs w:val="24"/>
          <w14:textFill>
            <w14:solidFill>
              <w14:schemeClr w14:val="tx1"/>
            </w14:solidFill>
          </w14:textFill>
        </w:rPr>
        <w:t>个工作日内无息退还]</w:t>
      </w:r>
    </w:p>
    <w:p>
      <w:pPr>
        <w:pStyle w:val="2"/>
        <w:spacing w:before="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七、交货期、交货方式及交货地点</w:t>
      </w:r>
    </w:p>
    <w:p>
      <w:pPr>
        <w:pStyle w:val="17"/>
        <w:numPr>
          <w:ilvl w:val="0"/>
          <w:numId w:val="6"/>
        </w:numPr>
        <w:tabs>
          <w:tab w:val="left" w:pos="522"/>
        </w:tabs>
        <w:spacing w:before="22"/>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14:textFill>
            <w14:solidFill>
              <w14:schemeClr w14:val="tx1"/>
            </w14:solidFill>
          </w14:textFill>
        </w:rPr>
        <w:t>交货期：合同签订后</w:t>
      </w:r>
      <w:r>
        <w:rPr>
          <w:rFonts w:hint="eastAsia" w:asciiTheme="minorEastAsia" w:hAnsiTheme="minorEastAsia" w:eastAsiaTheme="minorEastAsia" w:cstheme="minorEastAsia"/>
          <w:color w:val="000000" w:themeColor="text1"/>
          <w:spacing w:val="-3"/>
          <w:sz w:val="24"/>
          <w:szCs w:val="24"/>
          <w:lang w:val="en-US"/>
          <w14:textFill>
            <w14:solidFill>
              <w14:schemeClr w14:val="tx1"/>
            </w14:solidFill>
          </w14:textFill>
        </w:rPr>
        <w:t xml:space="preserve"> 60 </w:t>
      </w:r>
      <w:r>
        <w:rPr>
          <w:rFonts w:hint="eastAsia" w:asciiTheme="minorEastAsia" w:hAnsiTheme="minorEastAsia" w:eastAsiaTheme="minorEastAsia" w:cstheme="minorEastAsia"/>
          <w:color w:val="000000" w:themeColor="text1"/>
          <w:sz w:val="24"/>
          <w:szCs w:val="24"/>
          <w14:textFill>
            <w14:solidFill>
              <w14:schemeClr w14:val="tx1"/>
            </w14:solidFill>
          </w14:textFill>
        </w:rPr>
        <w:t>个工作日</w:t>
      </w:r>
    </w:p>
    <w:p>
      <w:pPr>
        <w:pStyle w:val="17"/>
        <w:numPr>
          <w:ilvl w:val="0"/>
          <w:numId w:val="6"/>
        </w:numPr>
        <w:tabs>
          <w:tab w:val="left" w:pos="522"/>
        </w:tabs>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5"/>
          <w:sz w:val="24"/>
          <w:szCs w:val="24"/>
          <w14:textFill>
            <w14:solidFill>
              <w14:schemeClr w14:val="tx1"/>
            </w14:solidFill>
          </w14:textFill>
        </w:rPr>
        <w:t>交货方式： 按甲方指定地点</w:t>
      </w:r>
      <w:r>
        <w:rPr>
          <w:rFonts w:hint="eastAsia" w:asciiTheme="minorEastAsia" w:hAnsiTheme="minorEastAsia" w:eastAsiaTheme="minorEastAsia" w:cstheme="minorEastAsia"/>
          <w:color w:val="000000" w:themeColor="text1"/>
          <w:sz w:val="24"/>
          <w:szCs w:val="24"/>
          <w14:textFill>
            <w14:solidFill>
              <w14:schemeClr w14:val="tx1"/>
            </w14:solidFill>
          </w14:textFill>
        </w:rPr>
        <w:t>送货上门</w:t>
      </w:r>
    </w:p>
    <w:p>
      <w:pPr>
        <w:pStyle w:val="17"/>
        <w:numPr>
          <w:ilvl w:val="0"/>
          <w:numId w:val="6"/>
        </w:numPr>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11"/>
          <w:sz w:val="24"/>
          <w:szCs w:val="24"/>
          <w14:textFill>
            <w14:solidFill>
              <w14:schemeClr w14:val="tx1"/>
            </w14:solidFill>
          </w14:textFill>
        </w:rPr>
        <w:t xml:space="preserve">交货地点： </w:t>
      </w:r>
      <w:r>
        <w:rPr>
          <w:rFonts w:hint="eastAsia" w:asciiTheme="minorEastAsia" w:hAnsiTheme="minorEastAsia" w:eastAsiaTheme="minorEastAsia" w:cstheme="minorEastAsia"/>
          <w:color w:val="000000" w:themeColor="text1"/>
          <w:sz w:val="24"/>
          <w:szCs w:val="24"/>
          <w14:textFill>
            <w14:solidFill>
              <w14:schemeClr w14:val="tx1"/>
            </w14:solidFill>
          </w14:textFill>
        </w:rPr>
        <w:t>浙江省温州市鹿城区南汇街道六虹桥路蛟尾路9号</w:t>
      </w:r>
    </w:p>
    <w:p>
      <w:pPr>
        <w:tabs>
          <w:tab w:val="left" w:pos="522"/>
        </w:tabs>
        <w:ind w:left="105" w:right="5480"/>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pacing w:val="10"/>
          <w:sz w:val="24"/>
          <w:szCs w:val="24"/>
          <w14:textFill>
            <w14:solidFill>
              <w14:schemeClr w14:val="tx1"/>
            </w14:solidFill>
          </w14:textFill>
        </w:rPr>
        <w:t>八、</w:t>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货款支付</w:t>
      </w:r>
    </w:p>
    <w:p>
      <w:pP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甲方按以下第1种方式支付乙方合同价款。</w:t>
      </w:r>
    </w:p>
    <w:p>
      <w:pPr>
        <w:pStyle w:val="3"/>
        <w:spacing w:before="21"/>
        <w:ind w:left="351"/>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1、一次性支付：</w:t>
      </w:r>
    </w:p>
    <w:p>
      <w:pPr>
        <w:pStyle w:val="3"/>
        <w:tabs>
          <w:tab w:val="left" w:pos="4877"/>
        </w:tabs>
        <w:spacing w:before="71"/>
        <w:ind w:left="351"/>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本合同项下的全部货物安装调试完毕并经最终验收合格后</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u w:val="single" w:color="4068E0"/>
          <w:lang w:val="en-US"/>
          <w14:textFill>
            <w14:solidFill>
              <w14:schemeClr w14:val="tx1"/>
            </w14:solidFill>
          </w14:textFill>
        </w:rPr>
        <w:t>90</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ab/>
      </w:r>
      <w:r>
        <w:rPr>
          <w:rFonts w:hint="eastAsia" w:asciiTheme="minorEastAsia" w:hAnsiTheme="minorEastAsia" w:eastAsiaTheme="minorEastAsia" w:cstheme="minorEastAsia"/>
          <w:color w:val="000000" w:themeColor="text1"/>
          <w:sz w:val="24"/>
          <w:szCs w:val="24"/>
          <w14:textFill>
            <w14:solidFill>
              <w14:schemeClr w14:val="tx1"/>
            </w14:solidFill>
          </w14:textFill>
        </w:rPr>
        <w:t>个工作日内，甲方向乙方支付全部合同价款。</w:t>
      </w:r>
    </w:p>
    <w:p>
      <w:pPr>
        <w:pStyle w:val="3"/>
        <w:spacing w:before="69"/>
        <w:ind w:left="351"/>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2、分期支付：</w:t>
      </w:r>
    </w:p>
    <w:p>
      <w:pPr>
        <w:pStyle w:val="17"/>
        <w:numPr>
          <w:ilvl w:val="0"/>
          <w:numId w:val="7"/>
        </w:numPr>
        <w:tabs>
          <w:tab w:val="left" w:pos="797"/>
          <w:tab w:val="left" w:pos="2800"/>
          <w:tab w:val="left" w:pos="5814"/>
          <w:tab w:val="left" w:pos="7603"/>
          <w:tab w:val="left" w:pos="8599"/>
        </w:tabs>
        <w:spacing w:before="69"/>
        <w:ind w:hanging="445"/>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甲方应于本合同生效后</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u w:val="single" w:color="4068E0"/>
          <w:lang w:val="en-US"/>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个工作日内向乙方支付合同总价款的</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u w:val="single" w:color="4068E0"/>
          <w:lang w:val="en-US"/>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%作为预付款，计¥</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u w:val="single" w:color="4068E0"/>
          <w:lang w:val="en-US"/>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元（大写</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u w:val="single" w:color="4068E0"/>
          <w:lang w:val="en-US"/>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元整）；</w:t>
      </w:r>
    </w:p>
    <w:p>
      <w:pPr>
        <w:pStyle w:val="17"/>
        <w:numPr>
          <w:ilvl w:val="0"/>
          <w:numId w:val="7"/>
        </w:numPr>
        <w:tabs>
          <w:tab w:val="left" w:pos="797"/>
          <w:tab w:val="left" w:pos="2632"/>
          <w:tab w:val="left" w:pos="6150"/>
          <w:tab w:val="left" w:pos="7098"/>
          <w:tab w:val="left" w:pos="8095"/>
        </w:tabs>
        <w:spacing w:before="118"/>
        <w:ind w:hanging="445"/>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全部货物验收合格后</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u w:val="single" w:color="4068E0"/>
          <w:lang w:val="en-US"/>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个工作日内，甲方向乙方支付合同总价款的</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u w:val="single" w:color="4068E0"/>
          <w:lang w:val="en-US"/>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%，计¥</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u w:val="single" w:color="4068E0"/>
          <w:lang w:val="en-US"/>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元（大写</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u w:val="single" w:color="4068E0"/>
          <w:lang w:val="en-US"/>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元整）。</w:t>
      </w:r>
    </w:p>
    <w:p>
      <w:pPr>
        <w:pStyle w:val="2"/>
        <w:spacing w:before="166"/>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九、税费</w:t>
      </w:r>
    </w:p>
    <w:p>
      <w:pPr>
        <w:pStyle w:val="3"/>
        <w:spacing w:before="23"/>
        <w:ind w:left="351"/>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本合同执行中相关的一切税费均由乙方负担。</w:t>
      </w:r>
    </w:p>
    <w:p>
      <w:pPr>
        <w:pStyle w:val="2"/>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十、质量保证及售后服务</w:t>
      </w:r>
    </w:p>
    <w:p>
      <w:pPr>
        <w:pStyle w:val="17"/>
        <w:numPr>
          <w:ilvl w:val="0"/>
          <w:numId w:val="8"/>
        </w:numPr>
        <w:tabs>
          <w:tab w:val="left" w:pos="522"/>
        </w:tabs>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乙方保证本合同中所供应的商品是最新生产的符合国家技术规格和质量标准的出厂原装的合格产品。如发生所供商品与合同不符，甲方（采购单位）有权拒收或退货，由此产生的一切责任和后果由乙方承担。</w:t>
      </w:r>
    </w:p>
    <w:p>
      <w:pPr>
        <w:pStyle w:val="17"/>
        <w:numPr>
          <w:ilvl w:val="0"/>
          <w:numId w:val="8"/>
        </w:numPr>
        <w:tabs>
          <w:tab w:val="left" w:pos="522"/>
        </w:tabs>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乙方提供的货物在质保期内因货物本身的质量问题发生故障，乙方应负责免费更换。对达不到技术要求者，根据实际情况，经双方协商，可按以下办法处理：</w:t>
      </w:r>
    </w:p>
    <w:p>
      <w:pPr>
        <w:pStyle w:val="17"/>
        <w:numPr>
          <w:ilvl w:val="0"/>
          <w:numId w:val="9"/>
        </w:numPr>
        <w:tabs>
          <w:tab w:val="left" w:pos="797"/>
        </w:tabs>
        <w:spacing w:before="0"/>
        <w:ind w:hanging="445"/>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更换：由乙方承担所发生的全部费用。</w:t>
      </w:r>
    </w:p>
    <w:p>
      <w:pPr>
        <w:pStyle w:val="17"/>
        <w:numPr>
          <w:ilvl w:val="0"/>
          <w:numId w:val="9"/>
        </w:numPr>
        <w:tabs>
          <w:tab w:val="left" w:pos="797"/>
        </w:tabs>
        <w:spacing w:before="22"/>
        <w:ind w:hanging="445"/>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贬值处理：由甲乙双方合议定价。</w:t>
      </w:r>
    </w:p>
    <w:p>
      <w:pPr>
        <w:pStyle w:val="17"/>
        <w:numPr>
          <w:ilvl w:val="0"/>
          <w:numId w:val="9"/>
        </w:numPr>
        <w:tabs>
          <w:tab w:val="left" w:pos="797"/>
        </w:tabs>
        <w:ind w:hanging="445"/>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退货处理：乙方应退还甲方支付的合同款，同时应承担该货物的直接费用（运输、保险、检验、货款利息及银行手续费等）。</w:t>
      </w:r>
    </w:p>
    <w:p>
      <w:pPr>
        <w:pStyle w:val="17"/>
        <w:numPr>
          <w:ilvl w:val="0"/>
          <w:numId w:val="8"/>
        </w:numPr>
        <w:tabs>
          <w:tab w:val="left" w:pos="522"/>
        </w:tabs>
        <w:spacing w:before="22"/>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在质保期内，乙方应对货物出现的质量及安全问题负责处理解决并承担一切费用。</w:t>
      </w:r>
    </w:p>
    <w:p>
      <w:pPr>
        <w:pStyle w:val="17"/>
        <w:numPr>
          <w:ilvl w:val="0"/>
          <w:numId w:val="8"/>
        </w:numPr>
        <w:tabs>
          <w:tab w:val="left" w:pos="522"/>
        </w:tabs>
        <w:spacing w:before="22"/>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上述的货物在质保期内免费保修，因人为因素出现的故障不在免费保修范围内。超过保修期的机器设备，终生维修，维修时只收部件成本费。乙方应当在甲方通知维修后2日内到达货物所在地进行维修。</w:t>
      </w:r>
    </w:p>
    <w:p>
      <w:pPr>
        <w:pStyle w:val="2"/>
        <w:spacing w:before="85"/>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十一、调试和验收</w:t>
      </w:r>
    </w:p>
    <w:p>
      <w:pPr>
        <w:pStyle w:val="17"/>
        <w:numPr>
          <w:ilvl w:val="0"/>
          <w:numId w:val="10"/>
        </w:numPr>
        <w:tabs>
          <w:tab w:val="left" w:pos="522"/>
        </w:tabs>
        <w:spacing w:before="106"/>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甲方对乙方提交的货物依据招标文件上的技术规格要求和国家有关质量标准进行现场验收。货到后，甲方需在二十个工作日内验收（质量等隐蔽瑕疵除外）。</w:t>
      </w:r>
    </w:p>
    <w:p>
      <w:pPr>
        <w:pStyle w:val="17"/>
        <w:numPr>
          <w:ilvl w:val="0"/>
          <w:numId w:val="10"/>
        </w:numPr>
        <w:tabs>
          <w:tab w:val="left" w:pos="522"/>
        </w:tabs>
        <w:ind w:left="111" w:right="101" w:firstLine="24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乙方交货前应对产品作出全面检查和对验收文件进行整理，并列出清单，作为甲方收货验收和使用的技术条件依据，检验的结果应随货物交甲方。</w:t>
      </w:r>
    </w:p>
    <w:p>
      <w:pPr>
        <w:pStyle w:val="17"/>
        <w:numPr>
          <w:ilvl w:val="0"/>
          <w:numId w:val="10"/>
        </w:numPr>
        <w:tabs>
          <w:tab w:val="left" w:pos="522"/>
        </w:tabs>
        <w:spacing w:before="0"/>
        <w:ind w:left="111" w:right="101" w:firstLine="24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甲方对乙方提供的货物在使用前进行调试时，乙方需负责安装并培训甲方的使用操作人员，并协助甲方一起调试，直到符合技术要求，    甲方才做最终验收。</w:t>
      </w:r>
    </w:p>
    <w:p>
      <w:pPr>
        <w:pStyle w:val="17"/>
        <w:numPr>
          <w:ilvl w:val="0"/>
          <w:numId w:val="10"/>
        </w:numPr>
        <w:tabs>
          <w:tab w:val="left" w:pos="522"/>
        </w:tabs>
        <w:spacing w:before="0"/>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对技术复杂的货物，甲方应请国家认可的专业检测机构参与验收，并由其出具质量检测报告。</w:t>
      </w:r>
    </w:p>
    <w:p>
      <w:pPr>
        <w:pStyle w:val="17"/>
        <w:numPr>
          <w:ilvl w:val="0"/>
          <w:numId w:val="10"/>
        </w:numPr>
        <w:tabs>
          <w:tab w:val="left" w:pos="522"/>
        </w:tabs>
        <w:spacing w:before="22"/>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验收时乙方必须在现场，验收完毕后作出验收结果报告；验收费用由乙方负责。</w:t>
      </w:r>
    </w:p>
    <w:p>
      <w:pPr>
        <w:pStyle w:val="2"/>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十二、货物包装</w:t>
      </w:r>
    </w:p>
    <w:p>
      <w:pPr>
        <w:pStyle w:val="17"/>
        <w:numPr>
          <w:ilvl w:val="0"/>
          <w:numId w:val="11"/>
        </w:numPr>
        <w:tabs>
          <w:tab w:val="left" w:pos="522"/>
        </w:tabs>
        <w:spacing w:before="22"/>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乙方应在货物发运前对其进行满足运输距离、防潮、防震、防锈和防破损装卸等要求包装，以保证货物安全运达甲方指定地点。</w:t>
      </w:r>
    </w:p>
    <w:p>
      <w:pPr>
        <w:pStyle w:val="17"/>
        <w:numPr>
          <w:ilvl w:val="0"/>
          <w:numId w:val="11"/>
        </w:numPr>
        <w:tabs>
          <w:tab w:val="left" w:pos="522"/>
        </w:tabs>
        <w:spacing w:before="22"/>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ab/>
      </w:r>
      <w:r>
        <w:rPr>
          <w:rFonts w:hint="eastAsia" w:asciiTheme="minorEastAsia" w:hAnsiTheme="minorEastAsia" w:eastAsiaTheme="minorEastAsia" w:cstheme="minorEastAsia"/>
          <w:color w:val="000000" w:themeColor="text1"/>
          <w:sz w:val="24"/>
          <w:szCs w:val="24"/>
          <w14:textFill>
            <w14:solidFill>
              <w14:schemeClr w14:val="tx1"/>
            </w14:solidFill>
          </w14:textFill>
        </w:rPr>
        <w:t>使用说明书、质量检验证明书、随配附件和工具以及清单一并附于货物内。</w:t>
      </w:r>
    </w:p>
    <w:p>
      <w:pPr>
        <w:pStyle w:val="17"/>
        <w:tabs>
          <w:tab w:val="left" w:pos="522"/>
        </w:tabs>
        <w:ind w:left="0" w:right="4471" w:firstLine="0"/>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pacing w:val="10"/>
          <w:sz w:val="24"/>
          <w:szCs w:val="24"/>
          <w14:textFill>
            <w14:solidFill>
              <w14:schemeClr w14:val="tx1"/>
            </w14:solidFill>
          </w14:textFill>
        </w:rPr>
        <w:t>十三、违约责任</w:t>
      </w:r>
    </w:p>
    <w:p>
      <w:pPr>
        <w:pStyle w:val="17"/>
        <w:numPr>
          <w:ilvl w:val="0"/>
          <w:numId w:val="12"/>
        </w:numPr>
        <w:tabs>
          <w:tab w:val="left" w:pos="522"/>
        </w:tabs>
        <w:spacing w:before="0"/>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甲方无正当理由拒收货物的，甲方向乙方偿付拒收货款总值的</w:t>
      </w:r>
      <w:r>
        <w:rPr>
          <w:rFonts w:hint="eastAsia" w:asciiTheme="minorEastAsia" w:hAnsiTheme="minorEastAsia" w:eastAsiaTheme="minorEastAsia" w:cstheme="minorEastAsia"/>
          <w:color w:val="000000" w:themeColor="text1"/>
          <w:spacing w:val="3"/>
          <w:sz w:val="24"/>
          <w:szCs w:val="24"/>
          <w:u w:val="single" w:color="4068E0"/>
          <w14:textFill>
            <w14:solidFill>
              <w14:schemeClr w14:val="tx1"/>
            </w14:solidFill>
          </w14:textFill>
        </w:rPr>
        <w:t xml:space="preserve"> 百分之五</w:t>
      </w:r>
      <w:r>
        <w:rPr>
          <w:rFonts w:hint="eastAsia" w:asciiTheme="minorEastAsia" w:hAnsiTheme="minorEastAsia" w:eastAsiaTheme="minorEastAsia" w:cstheme="minorEastAsia"/>
          <w:color w:val="000000" w:themeColor="text1"/>
          <w:spacing w:val="45"/>
          <w:sz w:val="24"/>
          <w:szCs w:val="24"/>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违约金。</w:t>
      </w:r>
    </w:p>
    <w:p>
      <w:pPr>
        <w:pStyle w:val="17"/>
        <w:numPr>
          <w:ilvl w:val="0"/>
          <w:numId w:val="12"/>
        </w:numPr>
        <w:tabs>
          <w:tab w:val="left" w:pos="522"/>
        </w:tabs>
        <w:spacing w:before="117"/>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甲方无故逾期验收和办理货款支付手续的,甲方应按逾期付款总额每日</w:t>
      </w:r>
      <w:r>
        <w:rPr>
          <w:rFonts w:hint="eastAsia" w:asciiTheme="minorEastAsia" w:hAnsiTheme="minorEastAsia" w:eastAsiaTheme="minorEastAsia" w:cstheme="minorEastAsia"/>
          <w:color w:val="000000" w:themeColor="text1"/>
          <w:spacing w:val="2"/>
          <w:sz w:val="24"/>
          <w:szCs w:val="24"/>
          <w:u w:val="single" w:color="4068E0"/>
          <w14:textFill>
            <w14:solidFill>
              <w14:schemeClr w14:val="tx1"/>
            </w14:solidFill>
          </w14:textFill>
        </w:rPr>
        <w:t xml:space="preserve"> 万分之五</w:t>
      </w:r>
      <w:r>
        <w:rPr>
          <w:rFonts w:hint="eastAsia" w:asciiTheme="minorEastAsia" w:hAnsiTheme="minorEastAsia" w:eastAsiaTheme="minorEastAsia" w:cstheme="minorEastAsia"/>
          <w:color w:val="000000" w:themeColor="text1"/>
          <w:spacing w:val="43"/>
          <w:sz w:val="24"/>
          <w:szCs w:val="24"/>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向乙方支付违约金。</w:t>
      </w:r>
    </w:p>
    <w:p>
      <w:pPr>
        <w:pStyle w:val="17"/>
        <w:numPr>
          <w:ilvl w:val="0"/>
          <w:numId w:val="12"/>
        </w:numPr>
        <w:tabs>
          <w:tab w:val="left" w:pos="522"/>
        </w:tabs>
        <w:spacing w:before="118"/>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乙方逾期交付货物的，乙方应按逾期交货总额每日</w:t>
      </w:r>
      <w:r>
        <w:rPr>
          <w:rFonts w:hint="eastAsia" w:asciiTheme="minorEastAsia" w:hAnsiTheme="minorEastAsia" w:eastAsiaTheme="minorEastAsia" w:cstheme="minorEastAsia"/>
          <w:color w:val="000000" w:themeColor="text1"/>
          <w:spacing w:val="15"/>
          <w:sz w:val="24"/>
          <w:szCs w:val="24"/>
          <w:u w:val="single" w:color="4068E0"/>
          <w14:textFill>
            <w14:solidFill>
              <w14:schemeClr w14:val="tx1"/>
            </w14:solidFill>
          </w14:textFill>
        </w:rPr>
        <w:t xml:space="preserve"> 千分之六</w:t>
      </w:r>
      <w:r>
        <w:rPr>
          <w:rFonts w:hint="eastAsia" w:asciiTheme="minorEastAsia" w:hAnsiTheme="minorEastAsia" w:eastAsiaTheme="minorEastAsia" w:cstheme="minorEastAsia"/>
          <w:color w:val="000000" w:themeColor="text1"/>
          <w:spacing w:val="29"/>
          <w:sz w:val="24"/>
          <w:szCs w:val="24"/>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向甲方支付违约金，由甲方从待付货款中扣除。逾期超过约定日期   10 个工作日不能交货的，甲方可解除本合同。乙方因逾期交货或因其他违约行为导致甲方解除合同的，乙方应向甲方支付合同总值</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 xml:space="preserve"> 5</w:t>
      </w:r>
      <w:r>
        <w:rPr>
          <w:rFonts w:hint="eastAsia" w:asciiTheme="minorEastAsia" w:hAnsiTheme="minorEastAsia" w:eastAsiaTheme="minorEastAsia" w:cstheme="minorEastAsia"/>
          <w:color w:val="000000" w:themeColor="text1"/>
          <w:sz w:val="24"/>
          <w:szCs w:val="24"/>
          <w14:textFill>
            <w14:solidFill>
              <w14:schemeClr w14:val="tx1"/>
            </w14:solidFill>
          </w14:textFill>
        </w:rPr>
        <w:t>%的违约金，如造成甲方损失超过违约金的，超出部分由乙方继续承担赔偿责任。</w:t>
      </w:r>
    </w:p>
    <w:p>
      <w:pPr>
        <w:pStyle w:val="17"/>
        <w:numPr>
          <w:ilvl w:val="0"/>
          <w:numId w:val="12"/>
        </w:numP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乙方所交的货物品种、型号、规格、技术参数、质量不符合合同规定及招标文件规定标准的，甲方有权拒收该货物，乙方愿意更换货物，但逾期交货的，按乙方逾期交货处理。乙方拒绝更换货物的，甲方可单方面解除合同。</w:t>
      </w:r>
    </w:p>
    <w:p>
      <w:pPr>
        <w:pStyle w:val="2"/>
        <w:spacing w:before="85"/>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十四、不可抗力事件处理</w:t>
      </w:r>
    </w:p>
    <w:p>
      <w:pPr>
        <w:pStyle w:val="17"/>
        <w:numPr>
          <w:ilvl w:val="0"/>
          <w:numId w:val="13"/>
        </w:numPr>
        <w:tabs>
          <w:tab w:val="left" w:pos="522"/>
        </w:tabs>
        <w:spacing w:before="106"/>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在合同有效期内，任何一方因不可抗力事件导致不能履行合同，双方协商后，则合同履行期可延长，其延长期与不可抗力影响期相同。</w:t>
      </w:r>
    </w:p>
    <w:p>
      <w:pPr>
        <w:pStyle w:val="17"/>
        <w:numPr>
          <w:ilvl w:val="0"/>
          <w:numId w:val="13"/>
        </w:numPr>
        <w:tabs>
          <w:tab w:val="left" w:pos="522"/>
        </w:tabs>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不可抗力事件发生后，应立即通知对方，并寄送有关权威机构出具的证明。</w:t>
      </w:r>
    </w:p>
    <w:p>
      <w:pPr>
        <w:pStyle w:val="17"/>
        <w:numPr>
          <w:ilvl w:val="0"/>
          <w:numId w:val="13"/>
        </w:numPr>
        <w:tabs>
          <w:tab w:val="left" w:pos="522"/>
        </w:tabs>
        <w:spacing w:before="22"/>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14:textFill>
            <w14:solidFill>
              <w14:schemeClr w14:val="tx1"/>
            </w14:solidFill>
          </w14:textFill>
        </w:rPr>
        <w:t xml:space="preserve">不可抗力事件延续 </w:t>
      </w:r>
      <w:r>
        <w:rPr>
          <w:rFonts w:hint="eastAsia" w:asciiTheme="minorEastAsia" w:hAnsiTheme="minorEastAsia" w:eastAsiaTheme="minorEastAsia" w:cstheme="minorEastAsia"/>
          <w:color w:val="000000" w:themeColor="text1"/>
          <w:sz w:val="24"/>
          <w:szCs w:val="24"/>
          <w14:textFill>
            <w14:solidFill>
              <w14:schemeClr w14:val="tx1"/>
            </w14:solidFill>
          </w14:textFill>
        </w:rPr>
        <w:t>120天以上，双方可以通过友好协商，确定是否继续履行合同。</w:t>
      </w:r>
    </w:p>
    <w:p>
      <w:pPr>
        <w:pStyle w:val="2"/>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十五、诉讼</w:t>
      </w:r>
    </w:p>
    <w:p>
      <w:pPr>
        <w:pStyle w:val="3"/>
        <w:spacing w:before="22"/>
        <w:ind w:left="351"/>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双方在执行合同中所发生的一切争议，应通过协商解决。如协商不成，可向甲方所在地法院起诉。</w:t>
      </w:r>
    </w:p>
    <w:p>
      <w:pPr>
        <w:pStyle w:val="2"/>
        <w:spacing w:before="10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十六、合同生效及其它</w:t>
      </w:r>
    </w:p>
    <w:p>
      <w:pPr>
        <w:pStyle w:val="17"/>
        <w:numPr>
          <w:ilvl w:val="0"/>
          <w:numId w:val="14"/>
        </w:numPr>
        <w:tabs>
          <w:tab w:val="left" w:pos="522"/>
        </w:tabs>
        <w:ind w:hanging="17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本合同经甲、乙双方签字并加盖单位公章后生效。</w:t>
      </w:r>
    </w:p>
    <w:p>
      <w:pPr>
        <w:pStyle w:val="17"/>
        <w:numPr>
          <w:ilvl w:val="0"/>
          <w:numId w:val="14"/>
        </w:numPr>
        <w:tabs>
          <w:tab w:val="left" w:pos="522"/>
        </w:tabs>
        <w:ind w:left="111" w:right="101" w:firstLine="24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招标文件、投标文件、项目采购协议或入围承诺书与本合同具有同等法律效力。如前述各项文件之间约定不一致的，应以最新签署的文件内容为准。</w:t>
      </w:r>
    </w:p>
    <w:p>
      <w:pPr>
        <w:pStyle w:val="17"/>
        <w:numPr>
          <w:ilvl w:val="0"/>
          <w:numId w:val="14"/>
        </w:numPr>
        <w:tabs>
          <w:tab w:val="left" w:pos="522"/>
        </w:tabs>
        <w:spacing w:before="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本合同未尽事宜，以招投标文件为准。</w:t>
      </w:r>
    </w:p>
    <w:p>
      <w:pPr>
        <w:pStyle w:val="17"/>
        <w:numPr>
          <w:ilvl w:val="0"/>
          <w:numId w:val="14"/>
        </w:num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本合同一式三份，甲方执二份，乙方执一份，具有同等法律效力。</w:t>
      </w:r>
    </w:p>
    <w:p>
      <w:pPr>
        <w:pStyle w:val="17"/>
        <w:numPr>
          <w:ilvl w:val="0"/>
          <w:numId w:val="14"/>
        </w:num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附件设备配置清单系本合同不可分割的组成部分，与本合同具有同等法律效力。</w:t>
      </w:r>
    </w:p>
    <w:p>
      <w:pPr>
        <w:pStyle w:val="3"/>
        <w:spacing w:before="106" w:line="264" w:lineRule="auto"/>
        <w:ind w:left="105" w:right="209"/>
        <w:rPr>
          <w:rFonts w:hint="eastAsia" w:asciiTheme="minorEastAsia" w:hAnsiTheme="minorEastAsia" w:eastAsiaTheme="minorEastAsia" w:cstheme="minorEastAsia"/>
          <w:sz w:val="24"/>
          <w:szCs w:val="24"/>
        </w:rPr>
      </w:pPr>
    </w:p>
    <w:p>
      <w:pPr>
        <w:pStyle w:val="3"/>
        <w:spacing w:before="106" w:line="264" w:lineRule="auto"/>
        <w:ind w:left="105" w:right="209"/>
        <w:rPr>
          <w:rFonts w:hint="eastAsia" w:asciiTheme="minorEastAsia" w:hAnsiTheme="minorEastAsia" w:eastAsiaTheme="minorEastAsia" w:cstheme="minorEastAsia"/>
          <w:sz w:val="24"/>
          <w:szCs w:val="24"/>
        </w:rPr>
      </w:pPr>
    </w:p>
    <w:p>
      <w:pPr>
        <w:pStyle w:val="3"/>
        <w:spacing w:before="106" w:line="264" w:lineRule="auto"/>
        <w:ind w:left="105" w:right="209"/>
        <w:rPr>
          <w:rFonts w:hint="eastAsia" w:asciiTheme="minorEastAsia" w:hAnsiTheme="minorEastAsia" w:eastAsiaTheme="minorEastAsia" w:cstheme="minorEastAsia"/>
          <w:sz w:val="24"/>
          <w:szCs w:val="24"/>
        </w:rPr>
      </w:pPr>
    </w:p>
    <w:p>
      <w:pPr>
        <w:pStyle w:val="3"/>
        <w:spacing w:before="106" w:line="264" w:lineRule="auto"/>
        <w:ind w:left="105" w:right="209"/>
        <w:rPr>
          <w:rFonts w:hint="eastAsia" w:asciiTheme="minorEastAsia" w:hAnsiTheme="minorEastAsia" w:eastAsiaTheme="minorEastAsia" w:cstheme="minorEastAsia"/>
          <w:sz w:val="24"/>
          <w:szCs w:val="24"/>
        </w:rPr>
      </w:pPr>
    </w:p>
    <w:p>
      <w:pPr>
        <w:pStyle w:val="3"/>
        <w:spacing w:before="106" w:line="264" w:lineRule="auto"/>
        <w:ind w:left="105" w:right="209"/>
        <w:rPr>
          <w:rFonts w:hint="eastAsia" w:asciiTheme="minorEastAsia" w:hAnsiTheme="minorEastAsia" w:eastAsiaTheme="minorEastAsia" w:cstheme="minorEastAsia"/>
          <w:sz w:val="24"/>
          <w:szCs w:val="24"/>
        </w:rPr>
      </w:pPr>
    </w:p>
    <w:p>
      <w:pPr>
        <w:pStyle w:val="3"/>
        <w:spacing w:before="106" w:line="264" w:lineRule="auto"/>
        <w:ind w:left="105" w:right="209"/>
        <w:rPr>
          <w:rFonts w:hint="eastAsia" w:asciiTheme="minorEastAsia" w:hAnsiTheme="minorEastAsia" w:eastAsiaTheme="minorEastAsia" w:cstheme="minorEastAsia"/>
          <w:sz w:val="24"/>
          <w:szCs w:val="24"/>
        </w:rPr>
      </w:pPr>
    </w:p>
    <w:p>
      <w:pPr>
        <w:pStyle w:val="3"/>
        <w:spacing w:before="106" w:line="264" w:lineRule="auto"/>
        <w:ind w:left="105" w:right="20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甲方（盖章）： 温州市中医院</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 xml:space="preserve">              乙方（盖章）：  </w:t>
      </w:r>
    </w:p>
    <w:p>
      <w:pPr>
        <w:pStyle w:val="3"/>
        <w:spacing w:before="106" w:line="264" w:lineRule="auto"/>
        <w:ind w:left="105" w:right="20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地址：温州市六虹桥路蛟尾路9号                     地址：                                                                                           </w:t>
      </w:r>
    </w:p>
    <w:p>
      <w:pPr>
        <w:pStyle w:val="3"/>
        <w:spacing w:before="106" w:line="264" w:lineRule="auto"/>
        <w:ind w:left="105" w:right="20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法定（授权）代表人：                              法定（授权）代表人： </w:t>
      </w:r>
    </w:p>
    <w:p>
      <w:pPr>
        <w:pStyle w:val="3"/>
        <w:spacing w:before="106" w:line="264" w:lineRule="auto"/>
        <w:ind w:left="105" w:right="20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签字日期：    年    月    日                      签字日期：    年   月   日</w:t>
      </w:r>
    </w:p>
    <w:p>
      <w:pPr>
        <w:widowControl/>
        <w:jc w:val="left"/>
        <w:rPr>
          <w:rFonts w:hint="eastAsia" w:asciiTheme="minorEastAsia" w:hAnsiTheme="minorEastAsia" w:eastAsiaTheme="minorEastAsia" w:cstheme="minorEastAsia"/>
          <w:kern w:val="0"/>
          <w:sz w:val="24"/>
          <w:szCs w:val="24"/>
          <w:lang w:val="zh-CN" w:bidi="zh-CN"/>
        </w:rPr>
      </w:pPr>
      <w:r>
        <w:rPr>
          <w:rFonts w:hint="eastAsia" w:asciiTheme="minorEastAsia" w:hAnsiTheme="minorEastAsia" w:eastAsiaTheme="minorEastAsia" w:cstheme="minorEastAsia"/>
          <w:sz w:val="24"/>
          <w:szCs w:val="24"/>
        </w:rPr>
        <w:br w:type="page"/>
      </w:r>
    </w:p>
    <w:p>
      <w:pPr>
        <w:jc w:val="center"/>
        <w:rPr>
          <w:b/>
          <w:sz w:val="36"/>
          <w:szCs w:val="36"/>
        </w:rPr>
      </w:pPr>
      <w:r>
        <w:rPr>
          <w:rFonts w:hint="eastAsia"/>
          <w:b/>
          <w:sz w:val="36"/>
          <w:szCs w:val="36"/>
        </w:rPr>
        <w:t>设备配置清单</w:t>
      </w:r>
    </w:p>
    <w:p>
      <w:pPr>
        <w:pStyle w:val="3"/>
        <w:rPr>
          <w:sz w:val="20"/>
        </w:rPr>
      </w:pPr>
    </w:p>
    <w:tbl>
      <w:tblPr>
        <w:tblStyle w:val="9"/>
        <w:tblpPr w:leftFromText="180" w:rightFromText="180" w:vertAnchor="text" w:horzAnchor="margin" w:tblpXSpec="center" w:tblpY="357"/>
        <w:tblOverlap w:val="never"/>
        <w:tblW w:w="919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4"/>
        <w:gridCol w:w="992"/>
        <w:gridCol w:w="2934"/>
        <w:gridCol w:w="1815"/>
        <w:gridCol w:w="705"/>
        <w:gridCol w:w="1110"/>
        <w:gridCol w:w="93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4" w:type="dxa"/>
          </w:tcPr>
          <w:p>
            <w:pPr>
              <w:jc w:val="center"/>
              <w:rPr>
                <w:b/>
                <w:sz w:val="21"/>
                <w:szCs w:val="21"/>
              </w:rPr>
            </w:pPr>
            <w:r>
              <w:rPr>
                <w:rFonts w:hint="eastAsia"/>
                <w:b/>
                <w:sz w:val="21"/>
                <w:szCs w:val="21"/>
              </w:rPr>
              <w:t>序号</w:t>
            </w:r>
          </w:p>
        </w:tc>
        <w:tc>
          <w:tcPr>
            <w:tcW w:w="992" w:type="dxa"/>
            <w:vAlign w:val="center"/>
          </w:tcPr>
          <w:p>
            <w:pPr>
              <w:jc w:val="center"/>
              <w:rPr>
                <w:b/>
                <w:sz w:val="21"/>
                <w:szCs w:val="21"/>
              </w:rPr>
            </w:pPr>
            <w:r>
              <w:rPr>
                <w:rFonts w:hint="eastAsia"/>
                <w:b/>
                <w:sz w:val="21"/>
                <w:szCs w:val="21"/>
              </w:rPr>
              <w:t>品牌</w:t>
            </w:r>
          </w:p>
        </w:tc>
        <w:tc>
          <w:tcPr>
            <w:tcW w:w="2934" w:type="dxa"/>
            <w:vAlign w:val="center"/>
          </w:tcPr>
          <w:p>
            <w:pPr>
              <w:jc w:val="center"/>
              <w:rPr>
                <w:b/>
                <w:sz w:val="21"/>
                <w:szCs w:val="21"/>
              </w:rPr>
            </w:pPr>
            <w:r>
              <w:rPr>
                <w:rFonts w:hint="eastAsia"/>
                <w:b/>
                <w:sz w:val="21"/>
                <w:szCs w:val="21"/>
              </w:rPr>
              <w:t>产品名称</w:t>
            </w:r>
          </w:p>
        </w:tc>
        <w:tc>
          <w:tcPr>
            <w:tcW w:w="1815" w:type="dxa"/>
            <w:vAlign w:val="center"/>
          </w:tcPr>
          <w:p>
            <w:pPr>
              <w:jc w:val="center"/>
              <w:rPr>
                <w:b/>
                <w:sz w:val="21"/>
                <w:szCs w:val="21"/>
              </w:rPr>
            </w:pPr>
            <w:r>
              <w:rPr>
                <w:rFonts w:hint="eastAsia"/>
                <w:b/>
                <w:sz w:val="21"/>
                <w:szCs w:val="21"/>
              </w:rPr>
              <w:t>规格型号</w:t>
            </w:r>
          </w:p>
        </w:tc>
        <w:tc>
          <w:tcPr>
            <w:tcW w:w="705" w:type="dxa"/>
            <w:vAlign w:val="center"/>
          </w:tcPr>
          <w:p>
            <w:pPr>
              <w:jc w:val="center"/>
              <w:rPr>
                <w:b/>
                <w:sz w:val="21"/>
                <w:szCs w:val="21"/>
              </w:rPr>
            </w:pPr>
            <w:r>
              <w:rPr>
                <w:rFonts w:hint="eastAsia"/>
                <w:b/>
                <w:sz w:val="21"/>
                <w:szCs w:val="21"/>
              </w:rPr>
              <w:t>数量</w:t>
            </w:r>
          </w:p>
        </w:tc>
        <w:tc>
          <w:tcPr>
            <w:tcW w:w="1110" w:type="dxa"/>
            <w:vAlign w:val="center"/>
          </w:tcPr>
          <w:p>
            <w:pPr>
              <w:jc w:val="center"/>
              <w:rPr>
                <w:b/>
                <w:sz w:val="21"/>
                <w:szCs w:val="21"/>
              </w:rPr>
            </w:pPr>
            <w:r>
              <w:rPr>
                <w:rFonts w:hint="eastAsia"/>
                <w:b/>
                <w:sz w:val="21"/>
                <w:szCs w:val="21"/>
              </w:rPr>
              <w:t>金额（元）</w:t>
            </w:r>
          </w:p>
        </w:tc>
        <w:tc>
          <w:tcPr>
            <w:tcW w:w="930" w:type="dxa"/>
            <w:vAlign w:val="center"/>
          </w:tcPr>
          <w:p>
            <w:pPr>
              <w:jc w:val="center"/>
              <w:rPr>
                <w:b/>
                <w:sz w:val="21"/>
                <w:szCs w:val="21"/>
              </w:rPr>
            </w:pPr>
            <w:r>
              <w:rPr>
                <w:rFonts w:hint="eastAsia"/>
                <w:b/>
                <w:sz w:val="21"/>
                <w:szCs w:val="21"/>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1</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2</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3</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4</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5</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6</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7</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8</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9</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10</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pacing w:val="20"/>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11</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pacing w:val="20"/>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12</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pacing w:val="20"/>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13</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pacing w:val="20"/>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14</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pacing w:val="20"/>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bl>
    <w:p>
      <w:pPr>
        <w:pStyle w:val="3"/>
        <w:rPr>
          <w:sz w:val="20"/>
        </w:rPr>
      </w:pPr>
    </w:p>
    <w:p>
      <w:pPr>
        <w:widowControl/>
        <w:jc w:val="left"/>
        <w:rPr>
          <w:rFonts w:ascii="宋体" w:hAnsi="宋体" w:eastAsia="宋体" w:cs="宋体"/>
          <w:kern w:val="0"/>
          <w:sz w:val="20"/>
          <w:szCs w:val="17"/>
          <w:lang w:val="zh-CN" w:bidi="zh-CN"/>
        </w:rPr>
      </w:pPr>
      <w:r>
        <w:rPr>
          <w:sz w:val="20"/>
        </w:rPr>
        <w:br w:type="page"/>
      </w:r>
    </w:p>
    <w:p>
      <w:pPr>
        <w:spacing w:line="440" w:lineRule="exact"/>
        <w:jc w:val="center"/>
        <w:rPr>
          <w:rFonts w:ascii="Calibri" w:hAnsi="Calibri" w:eastAsia="宋体" w:cs="Times New Roman"/>
          <w:b/>
          <w:sz w:val="28"/>
          <w:szCs w:val="28"/>
        </w:rPr>
      </w:pPr>
      <w:r>
        <w:rPr>
          <w:rFonts w:ascii="Calibri" w:hAnsi="Calibri" w:eastAsia="宋体" w:cs="Times New Roman"/>
          <w:b/>
          <w:sz w:val="28"/>
          <w:szCs w:val="28"/>
        </w:rPr>
        <w:t>廉洁购销合同</w:t>
      </w:r>
    </w:p>
    <w:p>
      <w:pPr>
        <w:spacing w:line="440" w:lineRule="exact"/>
        <w:rPr>
          <w:rFonts w:ascii="Calibri" w:hAnsi="Calibri" w:eastAsia="宋体" w:cs="Times New Roman"/>
          <w:bCs/>
          <w:sz w:val="18"/>
          <w:szCs w:val="20"/>
        </w:rPr>
      </w:pPr>
      <w:r>
        <w:rPr>
          <w:rFonts w:ascii="Calibri" w:hAnsi="Calibri" w:eastAsia="宋体" w:cs="Times New Roman"/>
          <w:sz w:val="18"/>
          <w:szCs w:val="20"/>
        </w:rPr>
        <w:t>甲方</w:t>
      </w:r>
      <w:r>
        <w:rPr>
          <w:rFonts w:ascii="Calibri" w:hAnsi="Calibri" w:eastAsia="宋体" w:cs="Times New Roman"/>
          <w:bCs/>
          <w:sz w:val="18"/>
          <w:szCs w:val="20"/>
        </w:rPr>
        <w:t>：</w:t>
      </w:r>
      <w:r>
        <w:rPr>
          <w:rFonts w:hint="eastAsia" w:ascii="Calibri" w:hAnsi="Calibri" w:eastAsia="宋体" w:cs="Times New Roman"/>
          <w:bCs/>
          <w:sz w:val="18"/>
          <w:szCs w:val="20"/>
        </w:rPr>
        <w:t>温州市中医院</w:t>
      </w:r>
    </w:p>
    <w:p>
      <w:pPr>
        <w:spacing w:line="440" w:lineRule="exact"/>
        <w:rPr>
          <w:rFonts w:hint="eastAsia" w:ascii="Calibri" w:hAnsi="Calibri" w:eastAsia="宋体" w:cs="Times New Roman"/>
          <w:bCs/>
          <w:sz w:val="18"/>
          <w:szCs w:val="20"/>
        </w:rPr>
      </w:pPr>
      <w:r>
        <w:rPr>
          <w:rFonts w:ascii="Calibri" w:hAnsi="Calibri" w:eastAsia="宋体" w:cs="Times New Roman"/>
          <w:sz w:val="18"/>
          <w:szCs w:val="20"/>
        </w:rPr>
        <w:t>乙方</w:t>
      </w:r>
      <w:r>
        <w:rPr>
          <w:rFonts w:ascii="Calibri" w:hAnsi="Calibri" w:eastAsia="宋体" w:cs="Times New Roman"/>
          <w:bCs/>
          <w:sz w:val="18"/>
          <w:szCs w:val="20"/>
        </w:rPr>
        <w:t>：</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为进一步加强医疗卫生行风建设，规范医疗卫生机构</w:t>
      </w:r>
      <w:r>
        <w:rPr>
          <w:rFonts w:hint="eastAsia" w:ascii="Calibri" w:hAnsi="Calibri" w:eastAsia="宋体" w:cs="Times New Roman"/>
          <w:bCs/>
          <w:sz w:val="18"/>
          <w:szCs w:val="20"/>
        </w:rPr>
        <w:t>各类</w:t>
      </w:r>
      <w:r>
        <w:rPr>
          <w:rFonts w:ascii="Calibri" w:hAnsi="Calibri" w:eastAsia="宋体" w:cs="Times New Roman"/>
          <w:bCs/>
          <w:sz w:val="18"/>
          <w:szCs w:val="20"/>
        </w:rPr>
        <w:t>购销行为，有效防范商业贿赂行为，营造公平交易、诚实守信的</w:t>
      </w:r>
      <w:r>
        <w:rPr>
          <w:rFonts w:hint="eastAsia" w:ascii="Calibri" w:hAnsi="Calibri" w:eastAsia="宋体" w:cs="Times New Roman"/>
          <w:bCs/>
          <w:sz w:val="18"/>
          <w:szCs w:val="20"/>
        </w:rPr>
        <w:t>“清廉医院”</w:t>
      </w:r>
      <w:r>
        <w:rPr>
          <w:rFonts w:ascii="Calibri" w:hAnsi="Calibri" w:eastAsia="宋体" w:cs="Times New Roman"/>
          <w:bCs/>
          <w:sz w:val="18"/>
          <w:szCs w:val="20"/>
        </w:rPr>
        <w:t>购销环境，经甲、乙双方协商，同意签订本合同，并共同遵守：</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一、甲乙双方按照《</w:t>
      </w:r>
      <w:r>
        <w:rPr>
          <w:rFonts w:hint="eastAsia" w:ascii="Calibri" w:hAnsi="Calibri" w:eastAsia="宋体" w:cs="Times New Roman"/>
          <w:bCs/>
          <w:sz w:val="18"/>
          <w:szCs w:val="20"/>
        </w:rPr>
        <w:t>民法典</w:t>
      </w:r>
      <w:r>
        <w:rPr>
          <w:rFonts w:ascii="Calibri" w:hAnsi="Calibri" w:eastAsia="宋体" w:cs="Times New Roman"/>
          <w:bCs/>
          <w:sz w:val="18"/>
          <w:szCs w:val="20"/>
        </w:rPr>
        <w:t>》</w:t>
      </w:r>
      <w:r>
        <w:rPr>
          <w:rFonts w:hint="eastAsia" w:ascii="Calibri" w:hAnsi="Calibri" w:eastAsia="宋体" w:cs="Times New Roman"/>
          <w:bCs/>
          <w:sz w:val="18"/>
          <w:szCs w:val="20"/>
        </w:rPr>
        <w:t>等相关法规要求，约定</w:t>
      </w:r>
      <w:r>
        <w:rPr>
          <w:rFonts w:ascii="Calibri" w:hAnsi="Calibri" w:eastAsia="宋体" w:cs="Times New Roman"/>
          <w:bCs/>
          <w:sz w:val="18"/>
          <w:szCs w:val="20"/>
        </w:rPr>
        <w:t>购销</w:t>
      </w:r>
      <w:r>
        <w:rPr>
          <w:rFonts w:hint="eastAsia" w:ascii="Calibri" w:hAnsi="Calibri" w:eastAsia="宋体" w:cs="Times New Roman"/>
          <w:bCs/>
          <w:sz w:val="18"/>
          <w:szCs w:val="20"/>
        </w:rPr>
        <w:t>包括但不限于</w:t>
      </w:r>
      <w:r>
        <w:rPr>
          <w:rFonts w:ascii="Calibri" w:hAnsi="Calibri" w:eastAsia="宋体" w:cs="Times New Roman"/>
          <w:bCs/>
          <w:sz w:val="18"/>
          <w:szCs w:val="20"/>
        </w:rPr>
        <w:t>药品、设备、耗材</w:t>
      </w:r>
      <w:r>
        <w:rPr>
          <w:rFonts w:hint="eastAsia" w:ascii="Calibri" w:hAnsi="Calibri" w:eastAsia="宋体" w:cs="Times New Roman"/>
          <w:bCs/>
          <w:sz w:val="18"/>
          <w:szCs w:val="20"/>
        </w:rPr>
        <w:t>、维保</w:t>
      </w:r>
      <w:r>
        <w:rPr>
          <w:rFonts w:ascii="Calibri" w:hAnsi="Calibri" w:eastAsia="宋体" w:cs="Times New Roman"/>
          <w:bCs/>
          <w:sz w:val="18"/>
          <w:szCs w:val="20"/>
        </w:rPr>
        <w:t>等</w:t>
      </w:r>
      <w:r>
        <w:rPr>
          <w:rFonts w:hint="eastAsia" w:ascii="Calibri" w:hAnsi="Calibri" w:eastAsia="宋体" w:cs="Times New Roman"/>
          <w:bCs/>
          <w:sz w:val="18"/>
          <w:szCs w:val="20"/>
        </w:rPr>
        <w:t>货物或服务</w:t>
      </w:r>
      <w:r>
        <w:rPr>
          <w:rFonts w:ascii="Calibri" w:hAnsi="Calibri" w:eastAsia="宋体" w:cs="Times New Roman"/>
          <w:bCs/>
          <w:sz w:val="18"/>
          <w:szCs w:val="20"/>
        </w:rPr>
        <w:t>。</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二、甲方应当严格执行合同验收、入库制度，对采购产品及发票进行查验，不得违反有关规定合同外采购、违价采购或从非规定渠道采购。</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动接受乙方给予的钱物，应予退还，无法退还的，有责任如实向有关纪检监察部门反映情况。</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四、严禁甲方工作人员利用任何途径和方式，为乙方统计医师个人及临床科室有关医药产品用量信息，或为乙方统计提供便利。</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五、乙方不得以回扣、宴请等方式影响甲方工作人员采购</w:t>
      </w:r>
      <w:r>
        <w:rPr>
          <w:rFonts w:hint="eastAsia" w:ascii="Calibri" w:hAnsi="Calibri" w:eastAsia="宋体" w:cs="Times New Roman"/>
          <w:bCs/>
          <w:sz w:val="18"/>
          <w:szCs w:val="20"/>
        </w:rPr>
        <w:t>或使用</w:t>
      </w:r>
      <w:r>
        <w:rPr>
          <w:rFonts w:ascii="Calibri" w:hAnsi="Calibri" w:eastAsia="宋体" w:cs="Times New Roman"/>
          <w:bCs/>
          <w:sz w:val="18"/>
          <w:szCs w:val="20"/>
        </w:rPr>
        <w:t>产品的选择权，不得在学术活动中提供旅游、超标准支付食宿费用。</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六、乙方指定</w:t>
      </w:r>
      <w:r>
        <w:rPr>
          <w:rFonts w:ascii="Calibri" w:hAnsi="Calibri" w:eastAsia="宋体" w:cs="Times New Roman"/>
          <w:bCs/>
          <w:sz w:val="18"/>
          <w:szCs w:val="20"/>
          <w:u w:val="single"/>
        </w:rPr>
        <w:t xml:space="preserve">                        </w:t>
      </w:r>
      <w:r>
        <w:rPr>
          <w:rFonts w:ascii="Calibri" w:hAnsi="Calibri" w:eastAsia="宋体" w:cs="Times New Roman"/>
          <w:bCs/>
          <w:sz w:val="18"/>
          <w:szCs w:val="20"/>
        </w:rPr>
        <w:t>作为销售代表洽谈业务。销售代表必须在工作时间到甲方指定地点联系商谈，不得到住院部、门诊部、医技科室等推销产品，不得借故到甲方相关领导、部门负责人及相关工作人员家中访谈并提供任何好处费。</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七、乙方如违反本合同，一经发现，甲方有权终止购销合同，并向有关卫生计生行政部门报告。如乙方被列入商业贿赂不良记录，则严格按照《国家卫生计生委关于建立医药购销领域商业贿赂不良记录的规定》</w:t>
      </w:r>
      <w:r>
        <w:rPr>
          <w:rFonts w:ascii="Calibri" w:hAnsi="Calibri" w:eastAsia="宋体" w:cs="Times New Roman"/>
          <w:bCs/>
          <w:sz w:val="18"/>
          <w:szCs w:val="20"/>
          <w:shd w:val="clear" w:color="auto" w:fill="FFFFFF"/>
        </w:rPr>
        <w:t>（国卫法制发〔2013〕50号）</w:t>
      </w:r>
      <w:r>
        <w:rPr>
          <w:rFonts w:hint="eastAsia" w:ascii="Calibri" w:hAnsi="Calibri" w:eastAsia="宋体" w:cs="Times New Roman"/>
          <w:bCs/>
          <w:sz w:val="18"/>
          <w:szCs w:val="20"/>
          <w:shd w:val="clear" w:color="auto" w:fill="FFFFFF"/>
        </w:rPr>
        <w:t>及《关于印发医疗机构工作人员廉洁从业九项准则的通知》（国卫医发〔2021〕37号）</w:t>
      </w:r>
      <w:r>
        <w:rPr>
          <w:rFonts w:ascii="Calibri" w:hAnsi="Calibri" w:eastAsia="宋体" w:cs="Times New Roman"/>
          <w:bCs/>
          <w:sz w:val="18"/>
          <w:szCs w:val="20"/>
        </w:rPr>
        <w:t>相关规定处理。</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八、本合同作为购销合同的重要组成部分，与购销合同一并执行，具有同等的法律效力。</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九、本合同一式三份，甲、乙双方各执一份，甲方纪检监察部门执一份，并从签订之日起生效。</w:t>
      </w:r>
    </w:p>
    <w:p>
      <w:pPr>
        <w:spacing w:line="440" w:lineRule="exact"/>
        <w:rPr>
          <w:rFonts w:ascii="Calibri" w:hAnsi="Calibri" w:eastAsia="宋体" w:cs="Times New Roman"/>
          <w:bCs/>
          <w:sz w:val="18"/>
          <w:szCs w:val="20"/>
        </w:rPr>
      </w:pPr>
    </w:p>
    <w:p>
      <w:pPr>
        <w:spacing w:line="440" w:lineRule="exact"/>
        <w:rPr>
          <w:rFonts w:ascii="Calibri" w:hAnsi="Calibri" w:eastAsia="宋体" w:cs="Times New Roman"/>
          <w:bCs/>
          <w:sz w:val="18"/>
          <w:szCs w:val="20"/>
        </w:rPr>
      </w:pPr>
      <w:r>
        <w:rPr>
          <w:rFonts w:ascii="Calibri" w:hAnsi="Calibri" w:eastAsia="宋体" w:cs="Times New Roman"/>
          <w:bCs/>
          <w:sz w:val="18"/>
          <w:szCs w:val="20"/>
        </w:rPr>
        <w:t xml:space="preserve">甲方（盖章）：                     </w:t>
      </w:r>
      <w:r>
        <w:rPr>
          <w:rFonts w:hint="eastAsia" w:ascii="Calibri" w:hAnsi="Calibri" w:eastAsia="宋体" w:cs="Times New Roman"/>
          <w:bCs/>
          <w:sz w:val="18"/>
          <w:szCs w:val="20"/>
        </w:rPr>
        <w:t xml:space="preserve">       </w:t>
      </w:r>
      <w:r>
        <w:rPr>
          <w:rFonts w:ascii="Calibri" w:hAnsi="Calibri" w:eastAsia="宋体" w:cs="Times New Roman"/>
          <w:bCs/>
          <w:sz w:val="18"/>
          <w:szCs w:val="20"/>
        </w:rPr>
        <w:t>乙方（盖章）：</w:t>
      </w:r>
    </w:p>
    <w:p>
      <w:pPr>
        <w:spacing w:line="440" w:lineRule="exact"/>
        <w:rPr>
          <w:rFonts w:ascii="Calibri" w:hAnsi="Calibri" w:eastAsia="宋体" w:cs="Times New Roman"/>
          <w:bCs/>
          <w:sz w:val="18"/>
          <w:szCs w:val="20"/>
        </w:rPr>
      </w:pPr>
      <w:r>
        <w:rPr>
          <w:rFonts w:ascii="Calibri" w:hAnsi="Calibri" w:eastAsia="宋体" w:cs="Times New Roman"/>
          <w:bCs/>
          <w:sz w:val="18"/>
          <w:szCs w:val="20"/>
        </w:rPr>
        <w:t xml:space="preserve">法定代表人（负责人）：             </w:t>
      </w:r>
      <w:r>
        <w:rPr>
          <w:rFonts w:hint="eastAsia" w:ascii="Calibri" w:hAnsi="Calibri" w:eastAsia="宋体" w:cs="Times New Roman"/>
          <w:bCs/>
          <w:sz w:val="18"/>
          <w:szCs w:val="20"/>
        </w:rPr>
        <w:t xml:space="preserve">       </w:t>
      </w:r>
      <w:r>
        <w:rPr>
          <w:rFonts w:ascii="Calibri" w:hAnsi="Calibri" w:eastAsia="宋体" w:cs="Times New Roman"/>
          <w:bCs/>
          <w:sz w:val="18"/>
          <w:szCs w:val="20"/>
        </w:rPr>
        <w:t>法定代表人（负责人）：</w:t>
      </w:r>
    </w:p>
    <w:p>
      <w:pPr>
        <w:spacing w:line="440" w:lineRule="exact"/>
        <w:rPr>
          <w:rFonts w:ascii="Calibri" w:hAnsi="Calibri" w:eastAsia="宋体" w:cs="Times New Roman"/>
          <w:bCs/>
          <w:sz w:val="18"/>
          <w:szCs w:val="20"/>
        </w:rPr>
      </w:pPr>
      <w:r>
        <w:rPr>
          <w:rFonts w:ascii="Calibri" w:hAnsi="Calibri" w:eastAsia="宋体" w:cs="Times New Roman"/>
          <w:bCs/>
          <w:sz w:val="18"/>
          <w:szCs w:val="20"/>
        </w:rPr>
        <w:t xml:space="preserve">经办人签名：                     </w:t>
      </w:r>
      <w:r>
        <w:rPr>
          <w:rFonts w:hint="eastAsia" w:ascii="Calibri" w:hAnsi="Calibri" w:eastAsia="宋体" w:cs="Times New Roman"/>
          <w:bCs/>
          <w:sz w:val="18"/>
          <w:szCs w:val="20"/>
        </w:rPr>
        <w:t xml:space="preserve">       </w:t>
      </w:r>
      <w:r>
        <w:rPr>
          <w:rFonts w:ascii="Calibri" w:hAnsi="Calibri" w:eastAsia="宋体" w:cs="Times New Roman"/>
          <w:bCs/>
          <w:sz w:val="18"/>
          <w:szCs w:val="20"/>
        </w:rPr>
        <w:t xml:space="preserve"> 经办人签名：</w:t>
      </w:r>
    </w:p>
    <w:p>
      <w:pPr>
        <w:spacing w:line="440" w:lineRule="exact"/>
        <w:ind w:firstLine="450" w:firstLineChars="250"/>
        <w:rPr>
          <w:rFonts w:ascii="Calibri" w:hAnsi="Calibri" w:eastAsia="宋体" w:cs="Times New Roman"/>
          <w:sz w:val="18"/>
          <w:szCs w:val="24"/>
        </w:rPr>
      </w:pPr>
      <w:r>
        <w:rPr>
          <w:rFonts w:ascii="Calibri" w:hAnsi="Calibri" w:eastAsia="宋体" w:cs="Times New Roman"/>
          <w:bCs/>
          <w:sz w:val="18"/>
          <w:szCs w:val="20"/>
        </w:rPr>
        <w:t xml:space="preserve">年   月   日                      </w:t>
      </w:r>
      <w:r>
        <w:rPr>
          <w:rFonts w:hint="eastAsia" w:ascii="Calibri" w:hAnsi="Calibri" w:eastAsia="宋体" w:cs="Times New Roman"/>
          <w:bCs/>
          <w:sz w:val="18"/>
          <w:szCs w:val="20"/>
        </w:rPr>
        <w:t xml:space="preserve">       </w:t>
      </w:r>
      <w:r>
        <w:rPr>
          <w:rFonts w:ascii="Calibri" w:hAnsi="Calibri" w:eastAsia="宋体" w:cs="Times New Roman"/>
          <w:bCs/>
          <w:sz w:val="18"/>
          <w:szCs w:val="20"/>
        </w:rPr>
        <w:t xml:space="preserve"> 年   月  日</w:t>
      </w:r>
    </w:p>
    <w:p>
      <w:pPr>
        <w:numPr>
          <w:ilvl w:val="0"/>
          <w:numId w:val="0"/>
        </w:numPr>
        <w:jc w:val="left"/>
        <w:rPr>
          <w:rFonts w:hint="default"/>
          <w:b/>
          <w:bCs/>
          <w:sz w:val="24"/>
          <w:lang w:val="en-US" w:eastAsia="zh-CN"/>
        </w:rPr>
      </w:pPr>
    </w:p>
    <w:sectPr>
      <w:pgSz w:w="11906" w:h="16838"/>
      <w:pgMar w:top="850" w:right="1417" w:bottom="850" w:left="141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Light">
    <w:altName w:val="Calibri"/>
    <w:panose1 w:val="020F0302020204030204"/>
    <w:charset w:val="00"/>
    <w:family w:val="swiss"/>
    <w:pitch w:val="default"/>
    <w:sig w:usb0="00000000" w:usb1="00000000" w:usb2="00000009" w:usb3="00000000" w:csb0="200001FF" w:csb1="00000000"/>
  </w:font>
  <w:font w:name="Verdana">
    <w:panose1 w:val="020B0604030504040204"/>
    <w:charset w:val="00"/>
    <w:family w:val="swiss"/>
    <w:pitch w:val="default"/>
    <w:sig w:usb0="A10006FF" w:usb1="4000205B" w:usb2="0000001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1">
    <w:nsid w:val="B5E306ED"/>
    <w:multiLevelType w:val="multilevel"/>
    <w:tmpl w:val="B5E306ED"/>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2">
    <w:nsid w:val="BF205925"/>
    <w:multiLevelType w:val="multilevel"/>
    <w:tmpl w:val="BF205925"/>
    <w:lvl w:ilvl="0" w:tentative="0">
      <w:start w:val="1"/>
      <w:numFmt w:val="decimal"/>
      <w:lvlText w:val="（%1）"/>
      <w:lvlJc w:val="left"/>
      <w:pPr>
        <w:ind w:left="796" w:hanging="446"/>
      </w:pPr>
      <w:rPr>
        <w:rFonts w:hint="default" w:ascii="宋体" w:hAnsi="宋体" w:eastAsia="宋体" w:cs="宋体"/>
        <w:spacing w:val="-13"/>
        <w:w w:val="98"/>
        <w:sz w:val="15"/>
        <w:szCs w:val="15"/>
        <w:lang w:val="zh-CN" w:eastAsia="zh-CN" w:bidi="zh-CN"/>
      </w:rPr>
    </w:lvl>
    <w:lvl w:ilvl="1" w:tentative="0">
      <w:start w:val="0"/>
      <w:numFmt w:val="bullet"/>
      <w:lvlText w:val="•"/>
      <w:lvlJc w:val="left"/>
      <w:pPr>
        <w:ind w:left="1774" w:hanging="446"/>
      </w:pPr>
      <w:rPr>
        <w:rFonts w:hint="default"/>
        <w:lang w:val="zh-CN" w:eastAsia="zh-CN" w:bidi="zh-CN"/>
      </w:rPr>
    </w:lvl>
    <w:lvl w:ilvl="2" w:tentative="0">
      <w:start w:val="0"/>
      <w:numFmt w:val="bullet"/>
      <w:lvlText w:val="•"/>
      <w:lvlJc w:val="left"/>
      <w:pPr>
        <w:ind w:left="2748" w:hanging="446"/>
      </w:pPr>
      <w:rPr>
        <w:rFonts w:hint="default"/>
        <w:lang w:val="zh-CN" w:eastAsia="zh-CN" w:bidi="zh-CN"/>
      </w:rPr>
    </w:lvl>
    <w:lvl w:ilvl="3" w:tentative="0">
      <w:start w:val="0"/>
      <w:numFmt w:val="bullet"/>
      <w:lvlText w:val="•"/>
      <w:lvlJc w:val="left"/>
      <w:pPr>
        <w:ind w:left="3722" w:hanging="446"/>
      </w:pPr>
      <w:rPr>
        <w:rFonts w:hint="default"/>
        <w:lang w:val="zh-CN" w:eastAsia="zh-CN" w:bidi="zh-CN"/>
      </w:rPr>
    </w:lvl>
    <w:lvl w:ilvl="4" w:tentative="0">
      <w:start w:val="0"/>
      <w:numFmt w:val="bullet"/>
      <w:lvlText w:val="•"/>
      <w:lvlJc w:val="left"/>
      <w:pPr>
        <w:ind w:left="4696" w:hanging="446"/>
      </w:pPr>
      <w:rPr>
        <w:rFonts w:hint="default"/>
        <w:lang w:val="zh-CN" w:eastAsia="zh-CN" w:bidi="zh-CN"/>
      </w:rPr>
    </w:lvl>
    <w:lvl w:ilvl="5" w:tentative="0">
      <w:start w:val="0"/>
      <w:numFmt w:val="bullet"/>
      <w:lvlText w:val="•"/>
      <w:lvlJc w:val="left"/>
      <w:pPr>
        <w:ind w:left="5670" w:hanging="446"/>
      </w:pPr>
      <w:rPr>
        <w:rFonts w:hint="default"/>
        <w:lang w:val="zh-CN" w:eastAsia="zh-CN" w:bidi="zh-CN"/>
      </w:rPr>
    </w:lvl>
    <w:lvl w:ilvl="6" w:tentative="0">
      <w:start w:val="0"/>
      <w:numFmt w:val="bullet"/>
      <w:lvlText w:val="•"/>
      <w:lvlJc w:val="left"/>
      <w:pPr>
        <w:ind w:left="6644" w:hanging="446"/>
      </w:pPr>
      <w:rPr>
        <w:rFonts w:hint="default"/>
        <w:lang w:val="zh-CN" w:eastAsia="zh-CN" w:bidi="zh-CN"/>
      </w:rPr>
    </w:lvl>
    <w:lvl w:ilvl="7" w:tentative="0">
      <w:start w:val="0"/>
      <w:numFmt w:val="bullet"/>
      <w:lvlText w:val="•"/>
      <w:lvlJc w:val="left"/>
      <w:pPr>
        <w:ind w:left="7618" w:hanging="446"/>
      </w:pPr>
      <w:rPr>
        <w:rFonts w:hint="default"/>
        <w:lang w:val="zh-CN" w:eastAsia="zh-CN" w:bidi="zh-CN"/>
      </w:rPr>
    </w:lvl>
    <w:lvl w:ilvl="8" w:tentative="0">
      <w:start w:val="0"/>
      <w:numFmt w:val="bullet"/>
      <w:lvlText w:val="•"/>
      <w:lvlJc w:val="left"/>
      <w:pPr>
        <w:ind w:left="8592" w:hanging="446"/>
      </w:pPr>
      <w:rPr>
        <w:rFonts w:hint="default"/>
        <w:lang w:val="zh-CN" w:eastAsia="zh-CN" w:bidi="zh-CN"/>
      </w:rPr>
    </w:lvl>
  </w:abstractNum>
  <w:abstractNum w:abstractNumId="3">
    <w:nsid w:val="CF092B84"/>
    <w:multiLevelType w:val="multilevel"/>
    <w:tmpl w:val="CF092B84"/>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4">
    <w:nsid w:val="0053208E"/>
    <w:multiLevelType w:val="multilevel"/>
    <w:tmpl w:val="0053208E"/>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5">
    <w:nsid w:val="0248C179"/>
    <w:multiLevelType w:val="multilevel"/>
    <w:tmpl w:val="0248C179"/>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6">
    <w:nsid w:val="03D62ECE"/>
    <w:multiLevelType w:val="multilevel"/>
    <w:tmpl w:val="03D62ECE"/>
    <w:lvl w:ilvl="0" w:tentative="0">
      <w:start w:val="1"/>
      <w:numFmt w:val="decimal"/>
      <w:lvlText w:val="（%1）"/>
      <w:lvlJc w:val="left"/>
      <w:pPr>
        <w:ind w:left="796" w:hanging="446"/>
      </w:pPr>
      <w:rPr>
        <w:rFonts w:hint="default" w:ascii="宋体" w:hAnsi="宋体" w:eastAsia="宋体" w:cs="宋体"/>
        <w:w w:val="98"/>
        <w:sz w:val="15"/>
        <w:szCs w:val="15"/>
        <w:lang w:val="zh-CN" w:eastAsia="zh-CN" w:bidi="zh-CN"/>
      </w:rPr>
    </w:lvl>
    <w:lvl w:ilvl="1" w:tentative="0">
      <w:start w:val="0"/>
      <w:numFmt w:val="bullet"/>
      <w:lvlText w:val="•"/>
      <w:lvlJc w:val="left"/>
      <w:pPr>
        <w:ind w:left="1774" w:hanging="446"/>
      </w:pPr>
      <w:rPr>
        <w:rFonts w:hint="default"/>
        <w:lang w:val="zh-CN" w:eastAsia="zh-CN" w:bidi="zh-CN"/>
      </w:rPr>
    </w:lvl>
    <w:lvl w:ilvl="2" w:tentative="0">
      <w:start w:val="0"/>
      <w:numFmt w:val="bullet"/>
      <w:lvlText w:val="•"/>
      <w:lvlJc w:val="left"/>
      <w:pPr>
        <w:ind w:left="2748" w:hanging="446"/>
      </w:pPr>
      <w:rPr>
        <w:rFonts w:hint="default"/>
        <w:lang w:val="zh-CN" w:eastAsia="zh-CN" w:bidi="zh-CN"/>
      </w:rPr>
    </w:lvl>
    <w:lvl w:ilvl="3" w:tentative="0">
      <w:start w:val="0"/>
      <w:numFmt w:val="bullet"/>
      <w:lvlText w:val="•"/>
      <w:lvlJc w:val="left"/>
      <w:pPr>
        <w:ind w:left="3722" w:hanging="446"/>
      </w:pPr>
      <w:rPr>
        <w:rFonts w:hint="default"/>
        <w:lang w:val="zh-CN" w:eastAsia="zh-CN" w:bidi="zh-CN"/>
      </w:rPr>
    </w:lvl>
    <w:lvl w:ilvl="4" w:tentative="0">
      <w:start w:val="0"/>
      <w:numFmt w:val="bullet"/>
      <w:lvlText w:val="•"/>
      <w:lvlJc w:val="left"/>
      <w:pPr>
        <w:ind w:left="4696" w:hanging="446"/>
      </w:pPr>
      <w:rPr>
        <w:rFonts w:hint="default"/>
        <w:lang w:val="zh-CN" w:eastAsia="zh-CN" w:bidi="zh-CN"/>
      </w:rPr>
    </w:lvl>
    <w:lvl w:ilvl="5" w:tentative="0">
      <w:start w:val="0"/>
      <w:numFmt w:val="bullet"/>
      <w:lvlText w:val="•"/>
      <w:lvlJc w:val="left"/>
      <w:pPr>
        <w:ind w:left="5670" w:hanging="446"/>
      </w:pPr>
      <w:rPr>
        <w:rFonts w:hint="default"/>
        <w:lang w:val="zh-CN" w:eastAsia="zh-CN" w:bidi="zh-CN"/>
      </w:rPr>
    </w:lvl>
    <w:lvl w:ilvl="6" w:tentative="0">
      <w:start w:val="0"/>
      <w:numFmt w:val="bullet"/>
      <w:lvlText w:val="•"/>
      <w:lvlJc w:val="left"/>
      <w:pPr>
        <w:ind w:left="6644" w:hanging="446"/>
      </w:pPr>
      <w:rPr>
        <w:rFonts w:hint="default"/>
        <w:lang w:val="zh-CN" w:eastAsia="zh-CN" w:bidi="zh-CN"/>
      </w:rPr>
    </w:lvl>
    <w:lvl w:ilvl="7" w:tentative="0">
      <w:start w:val="0"/>
      <w:numFmt w:val="bullet"/>
      <w:lvlText w:val="•"/>
      <w:lvlJc w:val="left"/>
      <w:pPr>
        <w:ind w:left="7618" w:hanging="446"/>
      </w:pPr>
      <w:rPr>
        <w:rFonts w:hint="default"/>
        <w:lang w:val="zh-CN" w:eastAsia="zh-CN" w:bidi="zh-CN"/>
      </w:rPr>
    </w:lvl>
    <w:lvl w:ilvl="8" w:tentative="0">
      <w:start w:val="0"/>
      <w:numFmt w:val="bullet"/>
      <w:lvlText w:val="•"/>
      <w:lvlJc w:val="left"/>
      <w:pPr>
        <w:ind w:left="8592" w:hanging="446"/>
      </w:pPr>
      <w:rPr>
        <w:rFonts w:hint="default"/>
        <w:lang w:val="zh-CN" w:eastAsia="zh-CN" w:bidi="zh-CN"/>
      </w:rPr>
    </w:lvl>
  </w:abstractNum>
  <w:abstractNum w:abstractNumId="7">
    <w:nsid w:val="0EF21C84"/>
    <w:multiLevelType w:val="multilevel"/>
    <w:tmpl w:val="0EF21C84"/>
    <w:lvl w:ilvl="0" w:tentative="0">
      <w:start w:val="1"/>
      <w:numFmt w:val="japaneseCounting"/>
      <w:lvlText w:val="%1、"/>
      <w:lvlJc w:val="left"/>
      <w:pPr>
        <w:ind w:left="525" w:hanging="420"/>
      </w:pPr>
      <w:rPr>
        <w:rFonts w:hint="default"/>
      </w:rPr>
    </w:lvl>
    <w:lvl w:ilvl="1" w:tentative="0">
      <w:start w:val="1"/>
      <w:numFmt w:val="lowerLetter"/>
      <w:lvlText w:val="%2)"/>
      <w:lvlJc w:val="left"/>
      <w:pPr>
        <w:ind w:left="945" w:hanging="420"/>
      </w:pPr>
    </w:lvl>
    <w:lvl w:ilvl="2" w:tentative="0">
      <w:start w:val="1"/>
      <w:numFmt w:val="lowerRoman"/>
      <w:lvlText w:val="%3."/>
      <w:lvlJc w:val="right"/>
      <w:pPr>
        <w:ind w:left="1365" w:hanging="420"/>
      </w:pPr>
    </w:lvl>
    <w:lvl w:ilvl="3" w:tentative="0">
      <w:start w:val="1"/>
      <w:numFmt w:val="decimal"/>
      <w:lvlText w:val="%4."/>
      <w:lvlJc w:val="left"/>
      <w:pPr>
        <w:ind w:left="1785" w:hanging="420"/>
      </w:pPr>
    </w:lvl>
    <w:lvl w:ilvl="4" w:tentative="0">
      <w:start w:val="1"/>
      <w:numFmt w:val="lowerLetter"/>
      <w:lvlText w:val="%5)"/>
      <w:lvlJc w:val="left"/>
      <w:pPr>
        <w:ind w:left="2205" w:hanging="420"/>
      </w:pPr>
    </w:lvl>
    <w:lvl w:ilvl="5" w:tentative="0">
      <w:start w:val="1"/>
      <w:numFmt w:val="lowerRoman"/>
      <w:lvlText w:val="%6."/>
      <w:lvlJc w:val="right"/>
      <w:pPr>
        <w:ind w:left="2625" w:hanging="420"/>
      </w:pPr>
    </w:lvl>
    <w:lvl w:ilvl="6" w:tentative="0">
      <w:start w:val="1"/>
      <w:numFmt w:val="decimal"/>
      <w:lvlText w:val="%7."/>
      <w:lvlJc w:val="left"/>
      <w:pPr>
        <w:ind w:left="3045" w:hanging="420"/>
      </w:pPr>
    </w:lvl>
    <w:lvl w:ilvl="7" w:tentative="0">
      <w:start w:val="1"/>
      <w:numFmt w:val="lowerLetter"/>
      <w:lvlText w:val="%8)"/>
      <w:lvlJc w:val="left"/>
      <w:pPr>
        <w:ind w:left="3465" w:hanging="420"/>
      </w:pPr>
    </w:lvl>
    <w:lvl w:ilvl="8" w:tentative="0">
      <w:start w:val="1"/>
      <w:numFmt w:val="lowerRoman"/>
      <w:lvlText w:val="%9."/>
      <w:lvlJc w:val="right"/>
      <w:pPr>
        <w:ind w:left="3885" w:hanging="420"/>
      </w:pPr>
    </w:lvl>
  </w:abstractNum>
  <w:abstractNum w:abstractNumId="8">
    <w:nsid w:val="11BBAE1D"/>
    <w:multiLevelType w:val="singleLevel"/>
    <w:tmpl w:val="11BBAE1D"/>
    <w:lvl w:ilvl="0" w:tentative="0">
      <w:start w:val="1"/>
      <w:numFmt w:val="chineseCounting"/>
      <w:suff w:val="nothing"/>
      <w:lvlText w:val="%1、"/>
      <w:lvlJc w:val="left"/>
      <w:rPr>
        <w:rFonts w:hint="eastAsia"/>
      </w:rPr>
    </w:lvl>
  </w:abstractNum>
  <w:abstractNum w:abstractNumId="9">
    <w:nsid w:val="1CFCF95C"/>
    <w:multiLevelType w:val="singleLevel"/>
    <w:tmpl w:val="1CFCF95C"/>
    <w:lvl w:ilvl="0" w:tentative="0">
      <w:start w:val="3"/>
      <w:numFmt w:val="decimal"/>
      <w:suff w:val="nothing"/>
      <w:lvlText w:val="%1、"/>
      <w:lvlJc w:val="left"/>
    </w:lvl>
  </w:abstractNum>
  <w:abstractNum w:abstractNumId="10">
    <w:nsid w:val="25B654F3"/>
    <w:multiLevelType w:val="multilevel"/>
    <w:tmpl w:val="25B654F3"/>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11">
    <w:nsid w:val="2A8F537B"/>
    <w:multiLevelType w:val="multilevel"/>
    <w:tmpl w:val="2A8F537B"/>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12">
    <w:nsid w:val="59ADCABA"/>
    <w:multiLevelType w:val="multilevel"/>
    <w:tmpl w:val="59ADCABA"/>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13">
    <w:nsid w:val="72183CF9"/>
    <w:multiLevelType w:val="multilevel"/>
    <w:tmpl w:val="72183CF9"/>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num w:numId="1">
    <w:abstractNumId w:val="8"/>
  </w:num>
  <w:num w:numId="2">
    <w:abstractNumId w:val="9"/>
  </w:num>
  <w:num w:numId="3">
    <w:abstractNumId w:val="7"/>
  </w:num>
  <w:num w:numId="4">
    <w:abstractNumId w:val="4"/>
  </w:num>
  <w:num w:numId="5">
    <w:abstractNumId w:val="3"/>
  </w:num>
  <w:num w:numId="6">
    <w:abstractNumId w:val="12"/>
  </w:num>
  <w:num w:numId="7">
    <w:abstractNumId w:val="2"/>
  </w:num>
  <w:num w:numId="8">
    <w:abstractNumId w:val="1"/>
  </w:num>
  <w:num w:numId="9">
    <w:abstractNumId w:val="6"/>
  </w:num>
  <w:num w:numId="10">
    <w:abstractNumId w:val="10"/>
  </w:num>
  <w:num w:numId="11">
    <w:abstractNumId w:val="13"/>
  </w:num>
  <w:num w:numId="12">
    <w:abstractNumId w:val="5"/>
  </w:num>
  <w:num w:numId="13">
    <w:abstractNumId w:val="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Y5MTM1ODcxZjQ3NGE4ODE2Njg0ODFkZTMzOWI0ZjUifQ=="/>
  </w:docVars>
  <w:rsids>
    <w:rsidRoot w:val="00733DD2"/>
    <w:rsid w:val="00026A1F"/>
    <w:rsid w:val="00061188"/>
    <w:rsid w:val="000A2FEB"/>
    <w:rsid w:val="000A5F9B"/>
    <w:rsid w:val="000B2223"/>
    <w:rsid w:val="00154B8C"/>
    <w:rsid w:val="001E31F7"/>
    <w:rsid w:val="0025720F"/>
    <w:rsid w:val="0027418F"/>
    <w:rsid w:val="002902FC"/>
    <w:rsid w:val="002F0826"/>
    <w:rsid w:val="00326C0F"/>
    <w:rsid w:val="003F3199"/>
    <w:rsid w:val="004131B4"/>
    <w:rsid w:val="00420CA3"/>
    <w:rsid w:val="00497393"/>
    <w:rsid w:val="004C713C"/>
    <w:rsid w:val="004E5E1A"/>
    <w:rsid w:val="004E7AFD"/>
    <w:rsid w:val="005147EF"/>
    <w:rsid w:val="005D37B9"/>
    <w:rsid w:val="005E2841"/>
    <w:rsid w:val="00602621"/>
    <w:rsid w:val="00612734"/>
    <w:rsid w:val="00671D4A"/>
    <w:rsid w:val="006A088D"/>
    <w:rsid w:val="00733DD2"/>
    <w:rsid w:val="007F05EF"/>
    <w:rsid w:val="0082310E"/>
    <w:rsid w:val="00855630"/>
    <w:rsid w:val="00863B91"/>
    <w:rsid w:val="008C37D0"/>
    <w:rsid w:val="008E4249"/>
    <w:rsid w:val="0093051F"/>
    <w:rsid w:val="00952609"/>
    <w:rsid w:val="009C1FBF"/>
    <w:rsid w:val="009E136B"/>
    <w:rsid w:val="009E4BCC"/>
    <w:rsid w:val="00A76C33"/>
    <w:rsid w:val="00A808E4"/>
    <w:rsid w:val="00A80B4E"/>
    <w:rsid w:val="00A93480"/>
    <w:rsid w:val="00B4172A"/>
    <w:rsid w:val="00BC00EB"/>
    <w:rsid w:val="00BF3469"/>
    <w:rsid w:val="00C969CF"/>
    <w:rsid w:val="00D06A7D"/>
    <w:rsid w:val="00D4297B"/>
    <w:rsid w:val="00D873FD"/>
    <w:rsid w:val="00D9066A"/>
    <w:rsid w:val="00DD12A9"/>
    <w:rsid w:val="00DE7ADB"/>
    <w:rsid w:val="00E51899"/>
    <w:rsid w:val="00EF7182"/>
    <w:rsid w:val="00F01072"/>
    <w:rsid w:val="00F26748"/>
    <w:rsid w:val="02B15ED7"/>
    <w:rsid w:val="032B7EBE"/>
    <w:rsid w:val="037819C8"/>
    <w:rsid w:val="04165086"/>
    <w:rsid w:val="079468F0"/>
    <w:rsid w:val="0A277157"/>
    <w:rsid w:val="0A323667"/>
    <w:rsid w:val="0B691EBF"/>
    <w:rsid w:val="0D6B27A0"/>
    <w:rsid w:val="0D737863"/>
    <w:rsid w:val="10827943"/>
    <w:rsid w:val="11D15B1C"/>
    <w:rsid w:val="11D56F8A"/>
    <w:rsid w:val="129A029D"/>
    <w:rsid w:val="12C9410A"/>
    <w:rsid w:val="14C02644"/>
    <w:rsid w:val="157B401A"/>
    <w:rsid w:val="165B3C1A"/>
    <w:rsid w:val="17453125"/>
    <w:rsid w:val="184F31D7"/>
    <w:rsid w:val="1A2E6DE6"/>
    <w:rsid w:val="1D4821A9"/>
    <w:rsid w:val="202B56B1"/>
    <w:rsid w:val="22723315"/>
    <w:rsid w:val="22CF7097"/>
    <w:rsid w:val="232E51F6"/>
    <w:rsid w:val="23884864"/>
    <w:rsid w:val="27E45486"/>
    <w:rsid w:val="2B057E38"/>
    <w:rsid w:val="2BA52826"/>
    <w:rsid w:val="2D7F5632"/>
    <w:rsid w:val="2EB05F76"/>
    <w:rsid w:val="2F3C6CF1"/>
    <w:rsid w:val="2FBD42B3"/>
    <w:rsid w:val="30D412A1"/>
    <w:rsid w:val="30E84F1F"/>
    <w:rsid w:val="316641F0"/>
    <w:rsid w:val="31F8416E"/>
    <w:rsid w:val="32CE7A3F"/>
    <w:rsid w:val="33951D5C"/>
    <w:rsid w:val="34117E05"/>
    <w:rsid w:val="351B0D6F"/>
    <w:rsid w:val="35633FD8"/>
    <w:rsid w:val="37C66C9B"/>
    <w:rsid w:val="3BB420F5"/>
    <w:rsid w:val="3DB75172"/>
    <w:rsid w:val="3F1B3C4A"/>
    <w:rsid w:val="402E62DF"/>
    <w:rsid w:val="402F4957"/>
    <w:rsid w:val="405108FA"/>
    <w:rsid w:val="4136403A"/>
    <w:rsid w:val="41EF774F"/>
    <w:rsid w:val="42660058"/>
    <w:rsid w:val="43824C1A"/>
    <w:rsid w:val="449C5243"/>
    <w:rsid w:val="449E2D2B"/>
    <w:rsid w:val="46094A05"/>
    <w:rsid w:val="460A3EB2"/>
    <w:rsid w:val="477517FF"/>
    <w:rsid w:val="479F5F87"/>
    <w:rsid w:val="497E50E4"/>
    <w:rsid w:val="49CC2349"/>
    <w:rsid w:val="4A254910"/>
    <w:rsid w:val="4B956476"/>
    <w:rsid w:val="4CB07D1E"/>
    <w:rsid w:val="4D3D3121"/>
    <w:rsid w:val="4DCB17F7"/>
    <w:rsid w:val="53423D16"/>
    <w:rsid w:val="534B0A6F"/>
    <w:rsid w:val="539D45B7"/>
    <w:rsid w:val="53CA557A"/>
    <w:rsid w:val="545A32FC"/>
    <w:rsid w:val="547D6E0D"/>
    <w:rsid w:val="584110E8"/>
    <w:rsid w:val="587C329C"/>
    <w:rsid w:val="595B205E"/>
    <w:rsid w:val="5A4777C5"/>
    <w:rsid w:val="5A6E001E"/>
    <w:rsid w:val="5DEC7787"/>
    <w:rsid w:val="5DFE7766"/>
    <w:rsid w:val="60F93F09"/>
    <w:rsid w:val="683E0693"/>
    <w:rsid w:val="685E7C65"/>
    <w:rsid w:val="68AB5C34"/>
    <w:rsid w:val="698F00A6"/>
    <w:rsid w:val="6A800692"/>
    <w:rsid w:val="6BF3478F"/>
    <w:rsid w:val="6DE10695"/>
    <w:rsid w:val="6E0B49D4"/>
    <w:rsid w:val="6E6658CD"/>
    <w:rsid w:val="6F1A55B9"/>
    <w:rsid w:val="711B411C"/>
    <w:rsid w:val="7392213F"/>
    <w:rsid w:val="739F5CC0"/>
    <w:rsid w:val="73F75A9D"/>
    <w:rsid w:val="748F3673"/>
    <w:rsid w:val="772F4719"/>
    <w:rsid w:val="773504DF"/>
    <w:rsid w:val="78667688"/>
    <w:rsid w:val="7A192AA7"/>
    <w:rsid w:val="7B395E66"/>
    <w:rsid w:val="7C4831AB"/>
    <w:rsid w:val="7E4702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1"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1"/>
    <w:pPr>
      <w:autoSpaceDE w:val="0"/>
      <w:autoSpaceDN w:val="0"/>
      <w:spacing w:before="106"/>
      <w:ind w:left="105"/>
      <w:jc w:val="left"/>
      <w:outlineLvl w:val="1"/>
    </w:pPr>
    <w:rPr>
      <w:rFonts w:ascii="宋体" w:hAnsi="宋体" w:eastAsia="宋体" w:cs="宋体"/>
      <w:b/>
      <w:bCs/>
      <w:kern w:val="0"/>
      <w:sz w:val="17"/>
      <w:szCs w:val="17"/>
      <w:lang w:val="zh-CN" w:bidi="zh-CN"/>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1"/>
    <w:pPr>
      <w:autoSpaceDE w:val="0"/>
      <w:autoSpaceDN w:val="0"/>
      <w:jc w:val="left"/>
    </w:pPr>
    <w:rPr>
      <w:rFonts w:ascii="宋体" w:hAnsi="宋体" w:eastAsia="宋体" w:cs="宋体"/>
      <w:kern w:val="0"/>
      <w:sz w:val="17"/>
      <w:szCs w:val="17"/>
      <w:lang w:val="zh-CN" w:bidi="zh-CN"/>
    </w:rPr>
  </w:style>
  <w:style w:type="paragraph" w:styleId="4">
    <w:name w:val="Plain Text"/>
    <w:basedOn w:val="1"/>
    <w:qFormat/>
    <w:uiPriority w:val="0"/>
    <w:rPr>
      <w:rFonts w:ascii="宋体" w:hAnsi="Courier New" w:cs="Courier New"/>
      <w:szCs w:val="21"/>
    </w:rPr>
  </w:style>
  <w:style w:type="paragraph" w:styleId="5">
    <w:name w:val="footer"/>
    <w:basedOn w:val="1"/>
    <w:link w:val="15"/>
    <w:unhideWhenUsed/>
    <w:qFormat/>
    <w:uiPriority w:val="99"/>
    <w:pPr>
      <w:tabs>
        <w:tab w:val="center" w:pos="4153"/>
        <w:tab w:val="right" w:pos="8306"/>
      </w:tabs>
      <w:snapToGrid w:val="0"/>
      <w:jc w:val="left"/>
    </w:pPr>
    <w:rPr>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8">
    <w:name w:val="Title"/>
    <w:basedOn w:val="1"/>
    <w:next w:val="1"/>
    <w:qFormat/>
    <w:uiPriority w:val="10"/>
    <w:pPr>
      <w:spacing w:before="240" w:after="60"/>
      <w:jc w:val="center"/>
      <w:outlineLvl w:val="0"/>
    </w:pPr>
    <w:rPr>
      <w:rFonts w:eastAsia="宋体" w:asciiTheme="majorHAnsi" w:hAnsiTheme="majorHAnsi" w:cstheme="majorBidi"/>
      <w:b/>
      <w:bCs/>
      <w:sz w:val="32"/>
      <w:szCs w:val="32"/>
    </w:rPr>
  </w:style>
  <w:style w:type="table" w:styleId="10">
    <w:name w:val="Table Grid"/>
    <w:basedOn w:val="9"/>
    <w:qFormat/>
    <w:uiPriority w:val="5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Strong"/>
    <w:basedOn w:val="11"/>
    <w:qFormat/>
    <w:uiPriority w:val="22"/>
    <w:rPr>
      <w:b/>
    </w:rPr>
  </w:style>
  <w:style w:type="character" w:styleId="13">
    <w:name w:val="Emphasis"/>
    <w:qFormat/>
    <w:uiPriority w:val="20"/>
    <w:rPr>
      <w:i/>
      <w:iCs/>
    </w:rPr>
  </w:style>
  <w:style w:type="character" w:customStyle="1" w:styleId="14">
    <w:name w:val="页眉 Char"/>
    <w:basedOn w:val="11"/>
    <w:link w:val="6"/>
    <w:qFormat/>
    <w:uiPriority w:val="99"/>
    <w:rPr>
      <w:sz w:val="18"/>
      <w:szCs w:val="18"/>
    </w:rPr>
  </w:style>
  <w:style w:type="character" w:customStyle="1" w:styleId="15">
    <w:name w:val="页脚 Char"/>
    <w:basedOn w:val="11"/>
    <w:link w:val="5"/>
    <w:qFormat/>
    <w:uiPriority w:val="99"/>
    <w:rPr>
      <w:sz w:val="18"/>
      <w:szCs w:val="18"/>
    </w:rPr>
  </w:style>
  <w:style w:type="paragraph" w:customStyle="1" w:styleId="16">
    <w:name w:val="Table Paragraph"/>
    <w:basedOn w:val="1"/>
    <w:qFormat/>
    <w:uiPriority w:val="1"/>
    <w:pPr>
      <w:autoSpaceDE w:val="0"/>
      <w:autoSpaceDN w:val="0"/>
      <w:jc w:val="left"/>
    </w:pPr>
    <w:rPr>
      <w:rFonts w:ascii="宋体" w:hAnsi="宋体" w:eastAsia="宋体" w:cs="宋体"/>
      <w:kern w:val="0"/>
      <w:sz w:val="22"/>
      <w:lang w:val="zh-CN" w:bidi="zh-CN"/>
    </w:rPr>
  </w:style>
  <w:style w:type="paragraph" w:styleId="17">
    <w:name w:val="List Paragraph"/>
    <w:basedOn w:val="1"/>
    <w:qFormat/>
    <w:uiPriority w:val="1"/>
    <w:pPr>
      <w:autoSpaceDE w:val="0"/>
      <w:autoSpaceDN w:val="0"/>
      <w:spacing w:before="21"/>
      <w:ind w:left="521" w:hanging="170"/>
      <w:jc w:val="left"/>
    </w:pPr>
    <w:rPr>
      <w:rFonts w:ascii="宋体" w:hAnsi="宋体" w:eastAsia="宋体" w:cs="宋体"/>
      <w:kern w:val="0"/>
      <w:sz w:val="22"/>
      <w:lang w:val="zh-CN" w:bidi="zh-CN"/>
    </w:rPr>
  </w:style>
  <w:style w:type="character" w:customStyle="1" w:styleId="18">
    <w:name w:val="NormalCharacter"/>
    <w:semiHidden/>
    <w:qFormat/>
    <w:uiPriority w:val="0"/>
  </w:style>
  <w:style w:type="character" w:customStyle="1" w:styleId="19">
    <w:name w:val="font31"/>
    <w:basedOn w:val="11"/>
    <w:qFormat/>
    <w:uiPriority w:val="0"/>
    <w:rPr>
      <w:rFonts w:hint="eastAsia" w:ascii="宋体" w:hAnsi="宋体" w:eastAsia="宋体" w:cs="宋体"/>
      <w:color w:val="000000"/>
      <w:sz w:val="24"/>
      <w:szCs w:val="24"/>
      <w:u w:val="none"/>
    </w:rPr>
  </w:style>
  <w:style w:type="character" w:customStyle="1" w:styleId="20">
    <w:name w:val="font11"/>
    <w:basedOn w:val="11"/>
    <w:qFormat/>
    <w:uiPriority w:val="0"/>
    <w:rPr>
      <w:rFonts w:hint="eastAsia" w:ascii="宋体" w:hAnsi="宋体" w:eastAsia="宋体" w:cs="宋体"/>
      <w:color w:val="000000"/>
      <w:sz w:val="24"/>
      <w:szCs w:val="24"/>
      <w:u w:val="none"/>
    </w:rPr>
  </w:style>
  <w:style w:type="character" w:customStyle="1" w:styleId="21">
    <w:name w:val="font41"/>
    <w:basedOn w:val="11"/>
    <w:qFormat/>
    <w:uiPriority w:val="0"/>
    <w:rPr>
      <w:rFonts w:hint="eastAsia" w:ascii="宋体" w:hAnsi="宋体" w:eastAsia="宋体" w:cs="宋体"/>
      <w:b/>
      <w:bCs/>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WZSZYY.CN</Company>
  <Pages>10</Pages>
  <Words>6609</Words>
  <Characters>6828</Characters>
  <Lines>6</Lines>
  <Paragraphs>1</Paragraphs>
  <TotalTime>0</TotalTime>
  <ScaleCrop>false</ScaleCrop>
  <LinksUpToDate>false</LinksUpToDate>
  <CharactersWithSpaces>7335</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2020-04-25T02:43:00Z</dcterms:created>
  <dc:creator>test</dc:creator>
  <cp:lastModifiedBy>李恩贤</cp:lastModifiedBy>
  <dcterms:modified xsi:type="dcterms:W3CDTF">2022-05-03T03:03:18Z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ondata">
    <vt:lpwstr>eyJoZGlkIjoiMjRiMzIwNTY3MTczYzNiN2UxOGJmYzAxNjg5MjZiNzQifQ==</vt:lpwstr>
  </property>
  <property fmtid="{D5CDD505-2E9C-101B-9397-08002B2CF9AE}" pid="3" name="KSOProductBuildVer">
    <vt:lpwstr>2052-11.1.0.11636</vt:lpwstr>
  </property>
  <property fmtid="{D5CDD505-2E9C-101B-9397-08002B2CF9AE}" pid="4" name="ICV">
    <vt:lpwstr>99012001CC8449E1B44B4987A03F7E88</vt:lpwstr>
  </property>
</Properties>
</file>