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6"/>
          <w:szCs w:val="36"/>
          <w:lang w:val="en-US" w:eastAsia="zh-CN"/>
        </w:rPr>
        <w:t>温州市中医院关于吞咽治疗仪项目的招标</w:t>
      </w:r>
    </w:p>
    <w:p>
      <w:pPr>
        <w:numPr>
          <w:ilvl w:val="0"/>
          <w:numId w:val="1"/>
        </w:numPr>
        <w:jc w:val="both"/>
        <w:rPr>
          <w:rStyle w:val="11"/>
          <w:rFonts w:hint="eastAsia" w:asciiTheme="minorEastAsia" w:hAnsiTheme="minorEastAsia" w:eastAsiaTheme="minorEastAsia" w:cstheme="minorEastAsia"/>
          <w:b/>
          <w:bCs/>
          <w:sz w:val="32"/>
          <w:szCs w:val="32"/>
        </w:rPr>
      </w:pPr>
      <w:r>
        <w:rPr>
          <w:rStyle w:val="11"/>
          <w:rFonts w:hint="eastAsia" w:asciiTheme="minorEastAsia" w:hAnsiTheme="minorEastAsia" w:eastAsiaTheme="minorEastAsia" w:cstheme="minorEastAsia"/>
          <w:b/>
          <w:bCs/>
          <w:sz w:val="32"/>
          <w:szCs w:val="32"/>
        </w:rPr>
        <w:t>项目基本情况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5"/>
        <w:gridCol w:w="5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eastAsiaTheme="minorEastAsia" w:cstheme="minorEastAsia"/>
                <w:sz w:val="24"/>
                <w:szCs w:val="24"/>
                <w:vertAlign w:val="baseline"/>
                <w:lang w:val="en-US" w:eastAsia="zh-CN"/>
              </w:rPr>
              <w:t>2022-sb-cg-00</w:t>
            </w:r>
            <w:r>
              <w:rPr>
                <w:rFonts w:hint="eastAsia" w:asciiTheme="minorEastAsia" w:hAnsiTheme="minorEastAsia" w:cstheme="minorEastAsia"/>
                <w:sz w:val="24"/>
                <w:szCs w:val="24"/>
                <w:vertAlign w:val="baseline"/>
                <w:lang w:val="en-US" w:eastAsia="zh-CN"/>
              </w:rPr>
              <w:t>7</w:t>
            </w:r>
          </w:p>
        </w:tc>
        <w:tc>
          <w:tcPr>
            <w:tcW w:w="5183" w:type="dxa"/>
          </w:tcPr>
          <w:p>
            <w:pPr>
              <w:jc w:val="left"/>
              <w:rPr>
                <w:rFonts w:hint="eastAsia" w:asciiTheme="minorEastAsia" w:hAnsiTheme="minorEastAsia" w:eastAsiaTheme="minorEastAsia" w:cstheme="minorEastAsia"/>
                <w:b w:val="0"/>
                <w:bCs w:val="0"/>
                <w:sz w:val="24"/>
                <w:szCs w:val="24"/>
                <w:vertAlign w:val="baseline"/>
                <w:lang w:eastAsia="zh-CN"/>
              </w:rPr>
            </w:pPr>
            <w:r>
              <w:rPr>
                <w:rFonts w:hint="eastAsia" w:asciiTheme="minorEastAsia" w:hAnsiTheme="minorEastAsia" w:eastAsiaTheme="minorEastAsia" w:cstheme="minorEastAsia"/>
                <w:b w:val="0"/>
                <w:bCs w:val="0"/>
                <w:sz w:val="24"/>
                <w:szCs w:val="24"/>
              </w:rPr>
              <w:t>项目名称：</w:t>
            </w:r>
            <w:r>
              <w:rPr>
                <w:rFonts w:hint="eastAsia" w:asciiTheme="minorEastAsia" w:hAnsiTheme="minorEastAsia" w:cstheme="minorEastAsia"/>
                <w:sz w:val="24"/>
                <w:szCs w:val="24"/>
                <w:vertAlign w:val="baseline"/>
                <w:lang w:val="en-US" w:eastAsia="zh-CN"/>
              </w:rPr>
              <w:t>吞咽治疗仪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default" w:asciiTheme="minorEastAsia" w:hAnsiTheme="minorEastAsia" w:eastAsiaTheme="minorEastAsia" w:cstheme="minorEastAsia"/>
                <w:b w:val="0"/>
                <w:bCs w:val="0"/>
                <w:sz w:val="24"/>
                <w:szCs w:val="24"/>
                <w:lang w:val="en-US" w:eastAsia="zh-CN"/>
              </w:rPr>
            </w:pPr>
            <w:r>
              <w:rPr>
                <w:rFonts w:hint="eastAsia" w:asciiTheme="minorEastAsia" w:hAnsiTheme="minorEastAsia" w:cstheme="minorEastAsia"/>
                <w:b w:val="0"/>
                <w:bCs w:val="0"/>
                <w:sz w:val="24"/>
                <w:szCs w:val="24"/>
                <w:lang w:val="en-US" w:eastAsia="zh-CN"/>
              </w:rPr>
              <w:t>数量：2台</w:t>
            </w:r>
          </w:p>
        </w:tc>
        <w:tc>
          <w:tcPr>
            <w:tcW w:w="5183"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cstheme="minorEastAsia"/>
                <w:b w:val="0"/>
                <w:bCs w:val="0"/>
                <w:sz w:val="24"/>
                <w:szCs w:val="24"/>
                <w:lang w:val="en-US" w:eastAsia="zh-CN"/>
              </w:rPr>
              <w:t>3万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cstheme="minorEastAsia"/>
                <w:b w:val="0"/>
                <w:bCs w:val="0"/>
                <w:sz w:val="24"/>
                <w:szCs w:val="24"/>
                <w:lang w:val="en-US" w:eastAsia="zh-CN"/>
              </w:rPr>
              <w:t>总</w:t>
            </w:r>
            <w:r>
              <w:rPr>
                <w:rFonts w:hint="eastAsia" w:asciiTheme="minorEastAsia" w:hAnsiTheme="minorEastAsia" w:eastAsiaTheme="minorEastAsia" w:cstheme="minorEastAsia"/>
                <w:b w:val="0"/>
                <w:bCs w:val="0"/>
                <w:sz w:val="24"/>
                <w:szCs w:val="24"/>
              </w:rPr>
              <w:t>金额（元）:</w:t>
            </w:r>
            <w:r>
              <w:rPr>
                <w:rFonts w:hint="eastAsia" w:asciiTheme="minorEastAsia" w:hAnsiTheme="minorEastAsia" w:cstheme="minorEastAsia"/>
                <w:b w:val="0"/>
                <w:bCs w:val="0"/>
                <w:sz w:val="24"/>
                <w:szCs w:val="24"/>
                <w:lang w:val="en-US" w:eastAsia="zh-CN"/>
              </w:rPr>
              <w:t>6万</w:t>
            </w:r>
          </w:p>
        </w:tc>
        <w:tc>
          <w:tcPr>
            <w:tcW w:w="5183" w:type="dxa"/>
          </w:tcPr>
          <w:p>
            <w:pPr>
              <w:jc w:val="both"/>
              <w:rPr>
                <w:rFonts w:hint="eastAsia" w:asciiTheme="minorEastAsia" w:hAnsiTheme="minorEastAsia" w:eastAsiaTheme="minorEastAsia" w:cstheme="minorEastAsia"/>
                <w:b w:val="0"/>
                <w:bCs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sz w:val="24"/>
                <w:szCs w:val="24"/>
              </w:rPr>
              <w:t>简要规格描述或项目基本概况介绍、用途：</w:t>
            </w:r>
            <w:r>
              <w:rPr>
                <w:rFonts w:hint="eastAsia" w:ascii="宋体" w:hAnsi="宋体"/>
                <w:sz w:val="24"/>
                <w:szCs w:val="24"/>
              </w:rPr>
              <w:t>用于咽部非机械原因损伤引起的吞咽障碍理疗。用于肌肉重新训练和对喉部肌肉进行功能性刺激，从而实现咽部肌肉正常收缩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2"/>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cstheme="minorEastAsia"/>
                <w:sz w:val="24"/>
                <w:szCs w:val="24"/>
                <w:lang w:eastAsia="zh-CN"/>
              </w:rPr>
              <w:t>允许进口</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本项目我院采取院内组织公开招标的方式，以综合评分最高者中标的原则确定中标供应商。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获取招标文件</w:t>
      </w:r>
    </w:p>
    <w:p>
      <w:pPr>
        <w:pStyle w:val="6"/>
        <w:keepNext w:val="0"/>
        <w:keepLines w:val="0"/>
        <w:widowControl/>
        <w:suppressLineNumbers w:val="0"/>
        <w:spacing w:line="300" w:lineRule="atLeast"/>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eastAsiaTheme="minorEastAsia" w:cstheme="minorEastAsia"/>
          <w:kern w:val="2"/>
          <w:szCs w:val="24"/>
          <w:highlight w:val="none"/>
          <w:lang w:eastAsia="zh-CN"/>
        </w:rPr>
        <w:t>h</w:t>
      </w:r>
      <w:r>
        <w:rPr>
          <w:rFonts w:hint="eastAsia" w:asciiTheme="minorEastAsia" w:hAnsiTheme="minorEastAsia" w:eastAsiaTheme="minorEastAsia" w:cstheme="minorEastAsia"/>
          <w:kern w:val="2"/>
          <w:szCs w:val="24"/>
          <w:lang w:eastAsia="zh-CN"/>
        </w:rPr>
        <w:t>ttp://www.wzszyy.com/</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提交投标文件截止时间：2022年5月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日下午14：00（北京时间）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cstheme="minorEastAsia"/>
          <w:kern w:val="2"/>
          <w:sz w:val="24"/>
          <w:szCs w:val="24"/>
          <w:lang w:val="en-US" w:eastAsia="zh-CN" w:bidi="ar-SA"/>
        </w:rPr>
        <w:t>2、</w:t>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日下午14：10（北京时间）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3、</w:t>
      </w:r>
      <w:r>
        <w:rPr>
          <w:rFonts w:hint="eastAsia" w:asciiTheme="minorEastAsia" w:hAnsiTheme="minorEastAsia" w:eastAsiaTheme="minorEastAsia" w:cstheme="minorEastAsia"/>
          <w:kern w:val="2"/>
          <w:sz w:val="24"/>
          <w:szCs w:val="24"/>
          <w:lang w:val="en-US" w:eastAsia="zh-CN" w:bidi="ar-SA"/>
        </w:rPr>
        <w:t>开标地点：温州市中医院</w:t>
      </w:r>
      <w:bookmarkStart w:id="0" w:name="_GoBack"/>
      <w:bookmarkEnd w:id="0"/>
      <w:r>
        <w:rPr>
          <w:rFonts w:hint="eastAsia" w:asciiTheme="minorEastAsia" w:hAnsiTheme="minorEastAsia" w:eastAsiaTheme="minorEastAsia" w:cstheme="minorEastAsia"/>
          <w:kern w:val="2"/>
          <w:sz w:val="24"/>
          <w:szCs w:val="24"/>
          <w:lang w:val="en-US" w:eastAsia="zh-CN" w:bidi="ar-SA"/>
        </w:rPr>
        <w:t xml:space="preserve">行政楼3楼309会议室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4、</w:t>
      </w: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en-US" w:eastAsia="zh-CN" w:bidi="ar-SA"/>
        </w:rPr>
        <w:t>投标方式：接受邮寄和现场投递的纸质投标文件</w:t>
      </w:r>
      <w:r>
        <w:rPr>
          <w:rFonts w:hint="eastAsia" w:asciiTheme="minorEastAsia" w:hAnsiTheme="minorEastAsia" w:cstheme="minorEastAsia"/>
          <w:kern w:val="2"/>
          <w:sz w:val="24"/>
          <w:szCs w:val="24"/>
          <w:lang w:val="en-US" w:eastAsia="zh-CN" w:bidi="ar-SA"/>
        </w:rPr>
        <w:t>/</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其他:招标文件一式三份，一正两副加盖公章</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公告期限 </w:t>
      </w:r>
    </w:p>
    <w:p>
      <w:pPr>
        <w:pStyle w:val="6"/>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1"/>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商务、技术参数偏离表</w:t>
      </w:r>
    </w:p>
    <w:p>
      <w:pPr>
        <w:snapToGrid w:val="0"/>
        <w:spacing w:line="360" w:lineRule="auto"/>
        <w:jc w:val="left"/>
        <w:rPr>
          <w:rFonts w:hint="eastAsia" w:asciiTheme="minorEastAsia" w:hAnsiTheme="minorEastAsia" w:eastAsiaTheme="minorEastAsia" w:cstheme="minorEastAsia"/>
          <w:sz w:val="24"/>
          <w:szCs w:val="24"/>
        </w:rPr>
      </w:pPr>
    </w:p>
    <w:tbl>
      <w:tblPr>
        <w:tblStyle w:val="9"/>
        <w:tblpPr w:leftFromText="180" w:rightFromText="180" w:vertAnchor="page" w:horzAnchor="page" w:tblpXSpec="center" w:tblpY="657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7563"/>
        <w:gridCol w:w="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0" w:type="auto"/>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0" w:type="auto"/>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一</w:t>
            </w:r>
          </w:p>
        </w:tc>
        <w:tc>
          <w:tcPr>
            <w:tcW w:w="0" w:type="auto"/>
            <w:vAlign w:val="top"/>
          </w:tcPr>
          <w:p>
            <w:pPr>
              <w:rPr>
                <w:rFonts w:hint="eastAsia" w:asciiTheme="minorEastAsia" w:hAnsiTheme="minorEastAsia" w:eastAsiaTheme="minorEastAsia" w:cstheme="minorEastAsia"/>
                <w:b/>
                <w:kern w:val="2"/>
                <w:sz w:val="24"/>
                <w:szCs w:val="24"/>
                <w:lang w:val="en-US" w:eastAsia="zh-CN" w:bidi="ar-SA"/>
              </w:rPr>
            </w:pPr>
            <w:r>
              <w:rPr>
                <w:rFonts w:hint="eastAsia" w:ascii="宋体" w:hAnsi="宋体"/>
                <w:b/>
                <w:sz w:val="24"/>
                <w:szCs w:val="24"/>
              </w:rPr>
              <w:t>总体要求</w:t>
            </w:r>
          </w:p>
        </w:tc>
        <w:tc>
          <w:tcPr>
            <w:tcW w:w="0" w:type="auto"/>
            <w:vAlign w:val="top"/>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center"/>
          </w:tcPr>
          <w:p>
            <w:pPr>
              <w:rPr>
                <w:rFonts w:hint="eastAsia" w:asciiTheme="minorEastAsia" w:hAnsiTheme="minorEastAsia" w:eastAsiaTheme="minorEastAsia" w:cstheme="minorEastAsia"/>
                <w:color w:val="auto"/>
                <w:sz w:val="24"/>
                <w:szCs w:val="24"/>
                <w:lang w:val="en-US" w:eastAsia="zh-CN"/>
              </w:rPr>
            </w:pPr>
            <w:r>
              <w:rPr>
                <w:rFonts w:hint="eastAsia" w:ascii="宋体" w:hAnsi="宋体"/>
                <w:sz w:val="24"/>
                <w:szCs w:val="24"/>
              </w:rPr>
              <w:t>1.1</w:t>
            </w:r>
          </w:p>
        </w:tc>
        <w:tc>
          <w:tcPr>
            <w:tcW w:w="0" w:type="auto"/>
            <w:vAlign w:val="top"/>
          </w:tcPr>
          <w:p>
            <w:pP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cstheme="minorEastAsia"/>
                <w:b w:val="0"/>
                <w:bCs w:val="0"/>
                <w:sz w:val="24"/>
                <w:szCs w:val="24"/>
                <w:lang w:val="en-US" w:eastAsia="zh-CN"/>
              </w:rPr>
              <w:t>采购</w:t>
            </w:r>
            <w:r>
              <w:rPr>
                <w:rFonts w:hint="eastAsia" w:asciiTheme="minorEastAsia" w:hAnsiTheme="minorEastAsia" w:cstheme="minorEastAsia"/>
                <w:sz w:val="24"/>
                <w:szCs w:val="24"/>
                <w:vertAlign w:val="baseline"/>
                <w:lang w:val="en-US" w:eastAsia="zh-CN"/>
              </w:rPr>
              <w:t>吞咽治疗</w:t>
            </w:r>
            <w:r>
              <w:rPr>
                <w:rFonts w:hint="eastAsia" w:asciiTheme="minorEastAsia" w:hAnsiTheme="minorEastAsia" w:eastAsiaTheme="minorEastAsia" w:cstheme="minorEastAsia"/>
                <w:b w:val="0"/>
                <w:bCs w:val="0"/>
                <w:sz w:val="24"/>
                <w:szCs w:val="24"/>
                <w:lang w:val="en-US" w:eastAsia="zh-CN"/>
              </w:rPr>
              <w:t>仪</w:t>
            </w:r>
            <w:r>
              <w:rPr>
                <w:rFonts w:hint="eastAsia" w:ascii="宋体" w:hAnsi="宋体"/>
                <w:sz w:val="24"/>
                <w:szCs w:val="24"/>
              </w:rPr>
              <w:t>2台</w:t>
            </w:r>
          </w:p>
        </w:tc>
        <w:tc>
          <w:tcPr>
            <w:tcW w:w="0" w:type="auto"/>
            <w:vAlign w:val="top"/>
          </w:tcPr>
          <w:p>
            <w:pP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1.2</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设备用途：用于咽部非机械原因损伤引起的吞咽障碍理疗。用于肌肉重新训练和对喉部肌肉进行功能性刺激，从而实现咽部肌肉正常收缩。</w:t>
            </w:r>
          </w:p>
        </w:tc>
        <w:tc>
          <w:tcPr>
            <w:tcW w:w="0" w:type="auto"/>
            <w:vAlign w:val="top"/>
          </w:tcPr>
          <w:p>
            <w:pP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二</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b/>
                <w:sz w:val="24"/>
                <w:szCs w:val="24"/>
              </w:rPr>
              <w:t>主要功能要求与技术参数</w:t>
            </w:r>
          </w:p>
        </w:tc>
        <w:tc>
          <w:tcPr>
            <w:tcW w:w="0" w:type="auto"/>
            <w:vAlign w:val="center"/>
          </w:tcPr>
          <w:p>
            <w:pP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波形：Vitalstim双向方波</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2.2</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脉冲频率：80Hz</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highlight w:val="none"/>
                <w:lang w:val="en-US" w:eastAsia="zh-CN"/>
              </w:rPr>
            </w:pPr>
            <w:r>
              <w:rPr>
                <w:rFonts w:hint="eastAsia" w:ascii="宋体" w:hAnsi="宋体"/>
                <w:sz w:val="24"/>
                <w:szCs w:val="24"/>
              </w:rPr>
              <w:t>2.3</w:t>
            </w:r>
          </w:p>
        </w:tc>
        <w:tc>
          <w:tcPr>
            <w:tcW w:w="0" w:type="auto"/>
            <w:vAlign w:val="top"/>
          </w:tcPr>
          <w:p>
            <w:pPr>
              <w:rPr>
                <w:rFonts w:hint="eastAsia" w:asciiTheme="minorEastAsia" w:hAnsiTheme="minorEastAsia" w:eastAsiaTheme="minorEastAsia" w:cstheme="minorEastAsia"/>
                <w:sz w:val="24"/>
                <w:szCs w:val="24"/>
                <w:highlight w:val="none"/>
              </w:rPr>
            </w:pPr>
            <w:r>
              <w:rPr>
                <w:rFonts w:hint="eastAsia" w:ascii="宋体" w:hAnsi="宋体"/>
                <w:sz w:val="24"/>
                <w:szCs w:val="24"/>
              </w:rPr>
              <w:t>脉冲宽度：300μ</w:t>
            </w:r>
            <w:r>
              <w:rPr>
                <w:rFonts w:ascii="宋体" w:hAnsi="宋体"/>
                <w:sz w:val="24"/>
                <w:szCs w:val="24"/>
              </w:rPr>
              <w:t>s</w:t>
            </w:r>
            <w:r>
              <w:rPr>
                <w:rFonts w:hint="eastAsia" w:ascii="宋体" w:hAnsi="宋体"/>
                <w:sz w:val="24"/>
                <w:szCs w:val="24"/>
              </w:rPr>
              <w:t>ec</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2.4</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脉冲电量：＜8μC</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2.5</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输出保护：单一组成部分故障，每个脉冲＜15μC</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★2.6</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电流输出：</w:t>
            </w:r>
            <w:r>
              <w:rPr>
                <w:rFonts w:ascii="宋体" w:hAnsi="宋体"/>
                <w:sz w:val="24"/>
                <w:szCs w:val="24"/>
              </w:rPr>
              <w:t>双重强度电位计</w:t>
            </w:r>
            <w:r>
              <w:rPr>
                <w:rFonts w:hint="eastAsia" w:ascii="宋体" w:hAnsi="宋体"/>
                <w:sz w:val="24"/>
                <w:szCs w:val="24"/>
              </w:rPr>
              <w:t>，</w:t>
            </w:r>
            <w:r>
              <w:rPr>
                <w:rFonts w:ascii="宋体" w:hAnsi="宋体"/>
                <w:sz w:val="24"/>
                <w:szCs w:val="24"/>
              </w:rPr>
              <w:t>0-25mA峰值电</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2.7</w:t>
            </w:r>
          </w:p>
        </w:tc>
        <w:tc>
          <w:tcPr>
            <w:tcW w:w="0" w:type="auto"/>
            <w:vAlign w:val="top"/>
          </w:tcPr>
          <w:p>
            <w:pPr>
              <w:rPr>
                <w:rFonts w:hint="eastAsia" w:asciiTheme="minorEastAsia" w:hAnsiTheme="minorEastAsia" w:eastAsiaTheme="minorEastAsia" w:cstheme="minorEastAsia"/>
                <w:sz w:val="24"/>
                <w:szCs w:val="24"/>
              </w:rPr>
            </w:pPr>
            <w:r>
              <w:rPr>
                <w:rFonts w:ascii="宋体" w:hAnsi="宋体"/>
                <w:sz w:val="24"/>
                <w:szCs w:val="24"/>
              </w:rPr>
              <w:t>时间单位：工作频率为3.58</w:t>
            </w:r>
            <w:r>
              <w:rPr>
                <w:rFonts w:hint="eastAsia" w:ascii="宋体" w:hAnsi="宋体"/>
                <w:sz w:val="24"/>
                <w:szCs w:val="24"/>
              </w:rPr>
              <w:t xml:space="preserve"> </w:t>
            </w:r>
            <w:r>
              <w:rPr>
                <w:rFonts w:ascii="宋体" w:hAnsi="宋体"/>
                <w:sz w:val="24"/>
                <w:szCs w:val="24"/>
              </w:rPr>
              <w:t>MHz晶振控制</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2.8</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电源：</w:t>
            </w:r>
            <w:r>
              <w:rPr>
                <w:rFonts w:ascii="宋体" w:hAnsi="宋体"/>
                <w:sz w:val="24"/>
                <w:szCs w:val="24"/>
              </w:rPr>
              <w:t>两节AA（1.5V）碱性电池</w:t>
            </w:r>
            <w:r>
              <w:rPr>
                <w:rFonts w:hint="eastAsia" w:ascii="宋体" w:hAnsi="宋体"/>
                <w:sz w:val="24"/>
                <w:szCs w:val="24"/>
              </w:rPr>
              <w:t>供电</w:t>
            </w:r>
          </w:p>
        </w:tc>
        <w:tc>
          <w:tcPr>
            <w:tcW w:w="0" w:type="auto"/>
            <w:vAlign w:val="center"/>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★2.9</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重量：＜1.5kg（包装重量，含所有配件），可随身携带</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2.10</w:t>
            </w:r>
          </w:p>
        </w:tc>
        <w:tc>
          <w:tcPr>
            <w:tcW w:w="0" w:type="auto"/>
            <w:vAlign w:val="top"/>
          </w:tcPr>
          <w:p>
            <w:pPr>
              <w:rPr>
                <w:rFonts w:hint="eastAsia" w:asciiTheme="minorEastAsia" w:hAnsiTheme="minorEastAsia" w:eastAsiaTheme="minorEastAsia" w:cstheme="minorEastAsia"/>
                <w:sz w:val="24"/>
                <w:szCs w:val="24"/>
              </w:rPr>
            </w:pPr>
            <w:r>
              <w:rPr>
                <w:rFonts w:ascii="宋体" w:hAnsi="宋体"/>
                <w:sz w:val="24"/>
                <w:szCs w:val="24"/>
              </w:rPr>
              <w:t>双</w:t>
            </w:r>
            <w:r>
              <w:rPr>
                <w:rFonts w:hint="eastAsia" w:ascii="宋体" w:hAnsi="宋体"/>
                <w:sz w:val="24"/>
                <w:szCs w:val="24"/>
              </w:rPr>
              <w:t>通道</w:t>
            </w:r>
            <w:r>
              <w:rPr>
                <w:rFonts w:ascii="宋体" w:hAnsi="宋体"/>
                <w:sz w:val="24"/>
                <w:szCs w:val="24"/>
              </w:rPr>
              <w:t>输出</w:t>
            </w:r>
            <w:r>
              <w:rPr>
                <w:rFonts w:hint="eastAsia" w:ascii="宋体" w:hAnsi="宋体"/>
                <w:sz w:val="24"/>
                <w:szCs w:val="24"/>
              </w:rPr>
              <w:t>，并可分别设置治疗强度</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2.11</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体积小巧轻便，便于携带</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2.12</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操作简单方便</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2.13</w:t>
            </w:r>
          </w:p>
        </w:tc>
        <w:tc>
          <w:tcPr>
            <w:tcW w:w="0" w:type="auto"/>
            <w:vAlign w:val="top"/>
          </w:tcPr>
          <w:p>
            <w:pPr>
              <w:rPr>
                <w:rFonts w:hint="eastAsia" w:asciiTheme="minorEastAsia" w:hAnsiTheme="minorEastAsia" w:eastAsiaTheme="minorEastAsia" w:cstheme="minorEastAsia"/>
                <w:sz w:val="24"/>
                <w:szCs w:val="24"/>
              </w:rPr>
            </w:pPr>
            <w:r>
              <w:rPr>
                <w:rFonts w:ascii="宋体" w:hAnsi="宋体"/>
                <w:sz w:val="24"/>
                <w:szCs w:val="24"/>
              </w:rPr>
              <w:t>脉冲比率固定值300</w:t>
            </w:r>
            <w:r>
              <w:rPr>
                <w:rFonts w:hint="eastAsia" w:ascii="宋体" w:hAnsi="宋体"/>
                <w:sz w:val="24"/>
                <w:szCs w:val="24"/>
              </w:rPr>
              <w:t xml:space="preserve"> </w:t>
            </w:r>
            <w:r>
              <w:rPr>
                <w:rFonts w:ascii="宋体" w:hAnsi="宋体"/>
                <w:sz w:val="24"/>
                <w:szCs w:val="24"/>
              </w:rPr>
              <w:t>us</w:t>
            </w:r>
            <w:r>
              <w:rPr>
                <w:rFonts w:hint="eastAsia" w:ascii="宋体" w:hAnsi="宋体"/>
                <w:sz w:val="24"/>
                <w:szCs w:val="24"/>
              </w:rPr>
              <w:t>，不需调节</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★2.14</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电流输出最大为25mA，避免引起喉部痉挛</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★2.15</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安全锁功能，开始治疗30s之后锁定治疗强度，避免治疗过程中触发电刺激调节导致的意外损伤</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2.16</w:t>
            </w:r>
          </w:p>
        </w:tc>
        <w:tc>
          <w:tcPr>
            <w:tcW w:w="0" w:type="auto"/>
            <w:vAlign w:val="top"/>
          </w:tcPr>
          <w:p>
            <w:pPr>
              <w:rPr>
                <w:rFonts w:hint="eastAsia" w:asciiTheme="minorEastAsia" w:hAnsiTheme="minorEastAsia" w:eastAsiaTheme="minorEastAsia" w:cstheme="minorEastAsia"/>
                <w:sz w:val="24"/>
                <w:szCs w:val="24"/>
              </w:rPr>
            </w:pPr>
            <w:r>
              <w:rPr>
                <w:rFonts w:ascii="宋体" w:hAnsi="宋体"/>
                <w:sz w:val="24"/>
                <w:szCs w:val="24"/>
              </w:rPr>
              <w:t>输出保护：任何单一组件具有短路保护</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2.17</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产地:原装进口</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★2.18</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通过美国CFDA 、FDA、CE、ISO认证</w:t>
            </w:r>
          </w:p>
        </w:tc>
        <w:tc>
          <w:tcPr>
            <w:tcW w:w="0" w:type="auto"/>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三</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b/>
                <w:sz w:val="24"/>
                <w:szCs w:val="24"/>
              </w:rPr>
              <w:t>安装验收</w:t>
            </w:r>
          </w:p>
        </w:tc>
        <w:tc>
          <w:tcPr>
            <w:tcW w:w="0" w:type="auto"/>
            <w:vAlign w:val="top"/>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3.1</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安装地点：医院指定科室；</w:t>
            </w:r>
          </w:p>
        </w:tc>
        <w:tc>
          <w:tcPr>
            <w:tcW w:w="0" w:type="auto"/>
            <w:vAlign w:val="top"/>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3.2</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安装完成时间：合同签订后1个月内交货，接买方通知后3天内完成安装；</w:t>
            </w:r>
          </w:p>
        </w:tc>
        <w:tc>
          <w:tcPr>
            <w:tcW w:w="0" w:type="auto"/>
            <w:vAlign w:val="top"/>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3.3</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安装标准：符合我国国家有关技术规范和技术标准；</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lang w:val="en-US" w:eastAsia="zh-CN"/>
              </w:rPr>
            </w:pPr>
            <w:r>
              <w:rPr>
                <w:rFonts w:hint="eastAsia" w:ascii="宋体" w:hAnsi="宋体"/>
                <w:sz w:val="24"/>
                <w:szCs w:val="24"/>
              </w:rPr>
              <w:t>3.4</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验收标准：符合我国国家有关技术规范和技术标准。</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3.5</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安装、验收合格前所产生的一切费用（包括卸货、搬运、必要时的安全性能检测费等）由供方负责提供。</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四</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b/>
                <w:sz w:val="24"/>
                <w:szCs w:val="24"/>
              </w:rPr>
              <w:t>售后服务</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4.1</w:t>
            </w:r>
          </w:p>
        </w:tc>
        <w:tc>
          <w:tcPr>
            <w:tcW w:w="0" w:type="auto"/>
            <w:vAlign w:val="center"/>
          </w:tcPr>
          <w:p>
            <w:pPr>
              <w:rPr>
                <w:rFonts w:hint="eastAsia" w:asciiTheme="minorEastAsia" w:hAnsiTheme="minorEastAsia" w:eastAsiaTheme="minorEastAsia" w:cstheme="minorEastAsia"/>
                <w:sz w:val="24"/>
                <w:szCs w:val="24"/>
              </w:rPr>
            </w:pPr>
            <w:r>
              <w:rPr>
                <w:rFonts w:hint="eastAsia" w:ascii="宋体" w:hAnsi="宋体"/>
                <w:sz w:val="24"/>
                <w:szCs w:val="24"/>
              </w:rPr>
              <w:t>免费保修：设备验收合格后保修≥1年，期间免一切维修费用；</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四</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b/>
                <w:sz w:val="24"/>
                <w:szCs w:val="24"/>
              </w:rPr>
              <w:t>其他要求</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5.1</w:t>
            </w:r>
          </w:p>
        </w:tc>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属于医疗器械管理范围的产品必须提供医疗器械注册证及注册登记表</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5.2</w:t>
            </w:r>
          </w:p>
        </w:tc>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厂家承诺提供设备免费保修期（含消耗品、易损品、维修配件、人工服务等）≥ 1年。提供过保后年保价格</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5.3</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操作手册、维修手册：提供操作手册、维修手册各一套</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5.4</w:t>
            </w:r>
          </w:p>
        </w:tc>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培训：提供临床应用操作培训,并提供临床资料(培训ppt、考核试题)</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5.5</w:t>
            </w:r>
          </w:p>
        </w:tc>
        <w:tc>
          <w:tcPr>
            <w:tcW w:w="0" w:type="auto"/>
            <w:vAlign w:val="top"/>
          </w:tcPr>
          <w:p>
            <w:pP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sz w:val="24"/>
                <w:szCs w:val="24"/>
              </w:rPr>
              <w:t>软件终身免费升级</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5.6</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付款方式:验收合格后90工作日内付款，投标商开具单张发票限额必须大于投标单台设备价格</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5.7</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投标商提供的设备必须在距投标当日10个月内生产</w:t>
            </w:r>
          </w:p>
        </w:tc>
        <w:tc>
          <w:tcPr>
            <w:tcW w:w="0" w:type="auto"/>
            <w:vAlign w:val="top"/>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5.8</w:t>
            </w:r>
          </w:p>
        </w:tc>
        <w:tc>
          <w:tcPr>
            <w:tcW w:w="0" w:type="auto"/>
            <w:vAlign w:val="top"/>
          </w:tcPr>
          <w:p>
            <w:pPr>
              <w:rPr>
                <w:rFonts w:hint="eastAsia" w:asciiTheme="minorEastAsia" w:hAnsiTheme="minorEastAsia" w:eastAsiaTheme="minorEastAsia" w:cstheme="minorEastAsia"/>
                <w:sz w:val="24"/>
                <w:szCs w:val="24"/>
              </w:rPr>
            </w:pPr>
            <w:r>
              <w:rPr>
                <w:rFonts w:hint="eastAsia" w:ascii="宋体" w:hAnsi="宋体"/>
                <w:sz w:val="24"/>
                <w:szCs w:val="24"/>
              </w:rPr>
              <w:t>其它优惠条款</w:t>
            </w:r>
          </w:p>
        </w:tc>
        <w:tc>
          <w:tcPr>
            <w:tcW w:w="0" w:type="auto"/>
            <w:vAlign w:val="top"/>
          </w:tcPr>
          <w:p>
            <w:pPr>
              <w:rPr>
                <w:rFonts w:hint="eastAsia" w:asciiTheme="minorEastAsia" w:hAnsiTheme="minorEastAsia" w:eastAsiaTheme="minorEastAsia" w:cstheme="minorEastAsia"/>
                <w:kern w:val="0"/>
                <w:sz w:val="24"/>
                <w:szCs w:val="24"/>
              </w:rPr>
            </w:pPr>
          </w:p>
        </w:tc>
      </w:tr>
    </w:tbl>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1"/>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8"/>
        <w:tblW w:w="93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9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945"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945"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widowControl w:val="0"/>
        <w:numPr>
          <w:ilvl w:val="0"/>
          <w:numId w:val="0"/>
        </w:numPr>
        <w:jc w:val="left"/>
        <w:rPr>
          <w:sz w:val="24"/>
        </w:rPr>
      </w:pPr>
    </w:p>
    <w:p>
      <w:pPr>
        <w:numPr>
          <w:ilvl w:val="0"/>
          <w:numId w:val="0"/>
        </w:numPr>
        <w:jc w:val="left"/>
        <w:rPr>
          <w:rFonts w:hint="eastAsia"/>
          <w:b/>
          <w:bCs/>
          <w:sz w:val="24"/>
          <w:lang w:val="en-US" w:eastAsia="zh-CN"/>
        </w:rPr>
      </w:pPr>
    </w:p>
    <w:p>
      <w:pPr>
        <w:pStyle w:val="6"/>
        <w:keepNext w:val="0"/>
        <w:keepLines w:val="0"/>
        <w:widowControl/>
        <w:numPr>
          <w:ilvl w:val="0"/>
          <w:numId w:val="0"/>
        </w:numPr>
        <w:suppressLineNumbers w:val="0"/>
        <w:spacing w:before="255" w:beforeAutospacing="0" w:after="255" w:afterAutospacing="0" w:line="300" w:lineRule="atLeast"/>
        <w:ind w:leftChars="0" w:right="0" w:rightChars="0"/>
        <w:jc w:val="both"/>
        <w:rPr>
          <w:rStyle w:val="11"/>
          <w:rFonts w:hint="default"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九、我院正式合同版本</w:t>
      </w:r>
    </w:p>
    <w:p>
      <w:pPr>
        <w:pStyle w:val="7"/>
        <w:rPr>
          <w:rFonts w:hint="eastAsia"/>
          <w:sz w:val="30"/>
          <w:szCs w:val="30"/>
        </w:rPr>
      </w:pPr>
    </w:p>
    <w:p>
      <w:pPr>
        <w:pStyle w:val="7"/>
        <w:rPr>
          <w:sz w:val="44"/>
        </w:rPr>
      </w:pPr>
      <w:r>
        <w:rPr>
          <w:rFonts w:hint="eastAsia"/>
          <w:sz w:val="30"/>
          <w:szCs w:val="30"/>
        </w:rPr>
        <w:t>温州市中医院医疗设备采购合同</w:t>
      </w:r>
    </w:p>
    <w:p>
      <w:pPr>
        <w:rPr>
          <w:w w:val="95"/>
        </w:rPr>
      </w:pPr>
      <w:r>
        <w:rPr>
          <w:rFonts w:hint="eastAsia"/>
          <w:w w:val="95"/>
        </w:rPr>
        <w:t xml:space="preserve">                                          </w:t>
      </w:r>
      <w:r>
        <w:rPr>
          <w:rFonts w:hint="eastAsia" w:asciiTheme="minorEastAsia" w:hAnsiTheme="minorEastAsia" w:eastAsiaTheme="minorEastAsia" w:cstheme="minorEastAsia"/>
          <w:color w:val="000000" w:themeColor="text1"/>
          <w:kern w:val="0"/>
          <w:sz w:val="24"/>
          <w:szCs w:val="24"/>
          <w:lang w:val="zh-CN" w:eastAsia="zh-CN" w:bidi="zh-CN"/>
          <w14:textFill>
            <w14:solidFill>
              <w14:schemeClr w14:val="tx1"/>
            </w14:solidFill>
          </w14:textFill>
        </w:rPr>
        <w:t>合同编号：</w:t>
      </w:r>
      <w:r>
        <w:rPr>
          <w:rFonts w:hint="eastAsia"/>
          <w:w w:val="95"/>
        </w:rPr>
        <w:t xml:space="preserve">          </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甲方（采购单位）：温州市中医院</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乙方（供应商）： </w:t>
      </w:r>
    </w:p>
    <w:p>
      <w:pPr>
        <w:pStyle w:val="3"/>
        <w:spacing w:before="106"/>
        <w:ind w:left="111" w:right="209" w:firstLine="600" w:firstLineChars="2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根据《中华人民共</w:t>
      </w:r>
      <w:r>
        <w:rPr>
          <w:rFonts w:hint="eastAsia" w:asciiTheme="minorEastAsia" w:hAnsiTheme="minorEastAsia" w:eastAsiaTheme="minorEastAsia" w:cstheme="minorEastAsia"/>
          <w:color w:val="000000" w:themeColor="text1"/>
          <w:sz w:val="24"/>
          <w:szCs w:val="24"/>
          <w14:textFill>
            <w14:solidFill>
              <w14:schemeClr w14:val="tx1"/>
            </w14:solidFill>
          </w14:textFill>
        </w:rPr>
        <w:t>和国政府采购法》、《中华人民共和国民法典》等相关法律法规，以及</w:t>
      </w:r>
      <w:r>
        <w:rPr>
          <w:rFonts w:hint="eastAsia" w:asciiTheme="minorEastAsia" w:hAnsiTheme="minorEastAsia" w:eastAsiaTheme="minorEastAsia" w:cstheme="minorEastAsia"/>
          <w:color w:val="000000" w:themeColor="text1"/>
          <w:sz w:val="24"/>
          <w:szCs w:val="24"/>
          <w:u w:val="single"/>
          <w:lang w:val="en-US"/>
          <w14:textFill>
            <w14:solidFill>
              <w14:schemeClr w14:val="tx1"/>
            </w14:solidFill>
          </w14:textFill>
        </w:rPr>
        <w:t>(招标编号)</w:t>
      </w:r>
      <w:r>
        <w:rPr>
          <w:rFonts w:hint="eastAsia" w:asciiTheme="minorEastAsia" w:hAnsiTheme="minorEastAsia" w:eastAsiaTheme="minorEastAsia" w:cstheme="minorEastAsia"/>
          <w:color w:val="000000" w:themeColor="text1"/>
          <w:w w:val="95"/>
          <w:sz w:val="24"/>
          <w:szCs w:val="24"/>
          <w14:textFill>
            <w14:solidFill>
              <w14:schemeClr w14:val="tx1"/>
            </w14:solidFill>
          </w14:textFill>
        </w:rPr>
        <w:t>项</w:t>
      </w:r>
      <w:r>
        <w:rPr>
          <w:rFonts w:hint="eastAsia" w:asciiTheme="minorEastAsia" w:hAnsiTheme="minorEastAsia" w:eastAsiaTheme="minorEastAsia" w:cstheme="minorEastAsia"/>
          <w:color w:val="000000" w:themeColor="text1"/>
          <w:sz w:val="24"/>
          <w:szCs w:val="24"/>
          <w14:textFill>
            <w14:solidFill>
              <w14:schemeClr w14:val="tx1"/>
            </w14:solidFill>
          </w14:textFill>
        </w:rPr>
        <w:t>目（以下简称“项目”）招标文件、中标供应商投标文件、项目采购协议，或入围承诺书，甲乙双方经协商一致，签署本合同。</w:t>
      </w:r>
    </w:p>
    <w:p>
      <w:pPr>
        <w:pStyle w:val="2"/>
        <w:numPr>
          <w:ilvl w:val="0"/>
          <w:numId w:val="3"/>
        </w:numPr>
        <w:spacing w:before="84" w:after="13"/>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5"/>
              <w:spacing w:before="11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货物名称</w:t>
            </w:r>
          </w:p>
        </w:tc>
        <w:tc>
          <w:tcPr>
            <w:tcW w:w="1418" w:type="dxa"/>
            <w:vAlign w:val="center"/>
          </w:tcPr>
          <w:p>
            <w:pPr>
              <w:pStyle w:val="15"/>
              <w:spacing w:before="116"/>
              <w:ind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品牌</w:t>
            </w:r>
          </w:p>
        </w:tc>
        <w:tc>
          <w:tcPr>
            <w:tcW w:w="1559" w:type="dxa"/>
            <w:vAlign w:val="center"/>
          </w:tcPr>
          <w:p>
            <w:pPr>
              <w:pStyle w:val="15"/>
              <w:spacing w:before="116"/>
              <w:ind w:left="287"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型号规格</w:t>
            </w:r>
          </w:p>
        </w:tc>
        <w:tc>
          <w:tcPr>
            <w:tcW w:w="2126"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配置要求</w:t>
            </w:r>
          </w:p>
        </w:tc>
        <w:tc>
          <w:tcPr>
            <w:tcW w:w="993"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数量</w:t>
            </w:r>
          </w:p>
        </w:tc>
        <w:tc>
          <w:tcPr>
            <w:tcW w:w="1134" w:type="dxa"/>
            <w:vAlign w:val="center"/>
          </w:tcPr>
          <w:p>
            <w:pPr>
              <w:pStyle w:val="15"/>
              <w:spacing w:before="116"/>
              <w:ind w:left="71" w:right="62"/>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5"/>
              <w:spacing w:before="116"/>
              <w:ind w:firstLine="1920" w:firstLineChars="8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合同总价大写</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                           小写：￥</w:t>
            </w:r>
          </w:p>
        </w:tc>
      </w:tr>
    </w:tbl>
    <w:p>
      <w:pPr>
        <w:ind w:right="1636"/>
        <w:jc w:val="righ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金额单位：元</w:t>
      </w:r>
    </w:p>
    <w:p>
      <w:pPr>
        <w:pStyle w:val="3"/>
        <w:spacing w:line="0" w:lineRule="atLeast"/>
        <w:ind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注：1、商品型号、数量、配置要求及使用单位地址等详见附件清单</w:t>
      </w:r>
    </w:p>
    <w:p>
      <w:pPr>
        <w:pStyle w:val="3"/>
        <w:spacing w:line="0" w:lineRule="atLeast"/>
        <w:ind w:left="105"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二、技术资料</w:t>
      </w:r>
    </w:p>
    <w:p>
      <w:pPr>
        <w:pStyle w:val="16"/>
        <w:numPr>
          <w:ilvl w:val="0"/>
          <w:numId w:val="4"/>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乙方应按招标文件规定的时间向甲方提供使用货物的有关技术资料。</w:t>
      </w:r>
    </w:p>
    <w:p>
      <w:pPr>
        <w:pStyle w:val="16"/>
        <w:numPr>
          <w:ilvl w:val="0"/>
          <w:numId w:val="4"/>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三、知识产权</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乙方应保证所提供的货物或其任何一部分均不会侵犯任何第三方的知识产权。</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四、产权担保</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乙方保证所交付的货物的所有权完全属于乙方且无任何抵押、查封等产权瑕疵。</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五、转包或分包</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六、质保期和质保金</w:t>
      </w:r>
    </w:p>
    <w:p>
      <w:pPr>
        <w:pStyle w:val="16"/>
        <w:numPr>
          <w:ilvl w:val="0"/>
          <w:numId w:val="5"/>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质保期为</w:t>
      </w:r>
      <w:r>
        <w:rPr>
          <w:rFonts w:hint="eastAsia" w:asciiTheme="minorEastAsia" w:hAnsiTheme="minorEastAsia" w:eastAsiaTheme="minorEastAsia" w:cstheme="minorEastAsia"/>
          <w:color w:val="000000" w:themeColor="text1"/>
          <w:spacing w:val="-6"/>
          <w:sz w:val="24"/>
          <w:szCs w:val="24"/>
          <w:u w:val="single"/>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lang w:val="en-US"/>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14:textFill>
            <w14:solidFill>
              <w14:schemeClr w14:val="tx1"/>
            </w14:solidFill>
          </w14:textFill>
        </w:rPr>
        <w:t>。（自交货验收合格之日起计）</w:t>
      </w:r>
    </w:p>
    <w:p>
      <w:pPr>
        <w:pStyle w:val="16"/>
        <w:numPr>
          <w:ilvl w:val="0"/>
          <w:numId w:val="5"/>
        </w:numPr>
        <w:tabs>
          <w:tab w:val="left" w:pos="522"/>
          <w:tab w:val="left" w:pos="1347"/>
        </w:tabs>
        <w:spacing w:before="7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质保金</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质量保证金于合同签订后</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日内</w:t>
      </w:r>
      <w:r>
        <w:rPr>
          <w:rFonts w:hint="eastAsia" w:asciiTheme="minorEastAsia" w:hAnsiTheme="minorEastAsia" w:eastAsiaTheme="minorEastAsia" w:cstheme="minorEastAsia"/>
          <w:color w:val="000000" w:themeColor="text1"/>
          <w:sz w:val="24"/>
          <w:szCs w:val="24"/>
          <w14:textFill>
            <w14:solidFill>
              <w14:schemeClr w14:val="tx1"/>
            </w14:solidFill>
          </w14:textFill>
        </w:rPr>
        <w:t>交给采购单位，在合同约定交货验收合格满（</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）个月之日起</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个工作日内无息退还]</w:t>
      </w:r>
    </w:p>
    <w:p>
      <w:pPr>
        <w:pStyle w:val="2"/>
        <w:spacing w:before="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七、交货期、交货方式及交货地点</w:t>
      </w:r>
    </w:p>
    <w:p>
      <w:pPr>
        <w:pStyle w:val="16"/>
        <w:numPr>
          <w:ilvl w:val="0"/>
          <w:numId w:val="6"/>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交货期：合同签订后</w:t>
      </w:r>
      <w:r>
        <w:rPr>
          <w:rFonts w:hint="eastAsia" w:asciiTheme="minorEastAsia" w:hAnsiTheme="minorEastAsia" w:eastAsiaTheme="minorEastAsia" w:cstheme="minorEastAsia"/>
          <w:color w:val="000000" w:themeColor="text1"/>
          <w:spacing w:val="-3"/>
          <w:sz w:val="24"/>
          <w:szCs w:val="24"/>
          <w:lang w:val="en-US"/>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p>
    <w:p>
      <w:pPr>
        <w:pStyle w:val="16"/>
        <w:numPr>
          <w:ilvl w:val="0"/>
          <w:numId w:val="6"/>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交货方式： 按甲方指定地点</w:t>
      </w:r>
      <w:r>
        <w:rPr>
          <w:rFonts w:hint="eastAsia" w:asciiTheme="minorEastAsia" w:hAnsiTheme="minorEastAsia" w:eastAsiaTheme="minorEastAsia" w:cstheme="minorEastAsia"/>
          <w:color w:val="000000" w:themeColor="text1"/>
          <w:sz w:val="24"/>
          <w:szCs w:val="24"/>
          <w14:textFill>
            <w14:solidFill>
              <w14:schemeClr w14:val="tx1"/>
            </w14:solidFill>
          </w14:textFill>
        </w:rPr>
        <w:t>送货上门</w:t>
      </w:r>
    </w:p>
    <w:p>
      <w:pPr>
        <w:pStyle w:val="16"/>
        <w:numPr>
          <w:ilvl w:val="0"/>
          <w:numId w:val="6"/>
        </w:numPr>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交货地点： </w:t>
      </w:r>
      <w:r>
        <w:rPr>
          <w:rFonts w:hint="eastAsia" w:asciiTheme="minorEastAsia" w:hAnsiTheme="minorEastAsia" w:eastAsiaTheme="minorEastAsia" w:cstheme="minorEastAsia"/>
          <w:color w:val="000000" w:themeColor="text1"/>
          <w:sz w:val="24"/>
          <w:szCs w:val="24"/>
          <w14:textFill>
            <w14:solidFill>
              <w14:schemeClr w14:val="tx1"/>
            </w14:solidFill>
          </w14:textFill>
        </w:rPr>
        <w:t>浙江省温州市鹿城区南汇街道六虹桥路蛟尾路9号</w:t>
      </w:r>
    </w:p>
    <w:p>
      <w:pPr>
        <w:tabs>
          <w:tab w:val="left" w:pos="522"/>
        </w:tabs>
        <w:ind w:left="105" w:right="548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八、</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货款支付</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甲方按以下第1种方式支付乙方合同价款。</w:t>
      </w:r>
    </w:p>
    <w:p>
      <w:pPr>
        <w:pStyle w:val="3"/>
        <w:spacing w:before="2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1、一次性支付：</w:t>
      </w:r>
    </w:p>
    <w:p>
      <w:pPr>
        <w:pStyle w:val="3"/>
        <w:tabs>
          <w:tab w:val="left" w:pos="4877"/>
        </w:tabs>
        <w:spacing w:before="7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本合同项下的全部货物安装调试完毕并经最终验收合格后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90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个工作日内，甲方向乙方支付全部合同价款。</w:t>
      </w:r>
    </w:p>
    <w:p>
      <w:pPr>
        <w:pStyle w:val="3"/>
        <w:spacing w:before="69"/>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2、分期支付：</w:t>
      </w:r>
    </w:p>
    <w:p>
      <w:pPr>
        <w:pStyle w:val="16"/>
        <w:numPr>
          <w:ilvl w:val="0"/>
          <w:numId w:val="7"/>
        </w:numPr>
        <w:tabs>
          <w:tab w:val="left" w:pos="797"/>
          <w:tab w:val="left" w:pos="2800"/>
          <w:tab w:val="left" w:pos="5814"/>
          <w:tab w:val="left" w:pos="7603"/>
          <w:tab w:val="left" w:pos="8599"/>
        </w:tabs>
        <w:spacing w:before="69"/>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甲方应于本合同生效后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%作为预付款，计¥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16"/>
        <w:numPr>
          <w:ilvl w:val="0"/>
          <w:numId w:val="7"/>
        </w:numPr>
        <w:tabs>
          <w:tab w:val="left" w:pos="797"/>
          <w:tab w:val="left" w:pos="2632"/>
          <w:tab w:val="left" w:pos="6150"/>
          <w:tab w:val="left" w:pos="7098"/>
          <w:tab w:val="left" w:pos="8095"/>
        </w:tabs>
        <w:spacing w:before="118"/>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全部货物验收合格后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2"/>
        <w:spacing w:before="16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九、税费</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本合同执行中相关的一切税费均由乙方负担。</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十、质量保证及售后服务</w:t>
      </w:r>
    </w:p>
    <w:p>
      <w:pPr>
        <w:pStyle w:val="16"/>
        <w:numPr>
          <w:ilvl w:val="0"/>
          <w:numId w:val="8"/>
        </w:numPr>
        <w:tabs>
          <w:tab w:val="left" w:pos="522"/>
        </w:tabs>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乙方保证本合同中所供应的商品是最新生产的符合国家技术规格和质量标准的出厂原装的合格产品。如发生所供商品与合同不符，甲方（采购单位）有权拒收或退货，由此产生的一切责任和后果由乙方承担。</w:t>
      </w:r>
    </w:p>
    <w:p>
      <w:pPr>
        <w:pStyle w:val="16"/>
        <w:numPr>
          <w:ilvl w:val="0"/>
          <w:numId w:val="8"/>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6"/>
        <w:numPr>
          <w:ilvl w:val="0"/>
          <w:numId w:val="9"/>
        </w:numPr>
        <w:tabs>
          <w:tab w:val="left" w:pos="797"/>
        </w:tabs>
        <w:spacing w:before="0"/>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更换：由乙方承担所发生的全部费用。</w:t>
      </w:r>
    </w:p>
    <w:p>
      <w:pPr>
        <w:pStyle w:val="16"/>
        <w:numPr>
          <w:ilvl w:val="0"/>
          <w:numId w:val="9"/>
        </w:numPr>
        <w:tabs>
          <w:tab w:val="left" w:pos="797"/>
        </w:tabs>
        <w:spacing w:before="22"/>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贬值处理：由甲乙双方合议定价。</w:t>
      </w:r>
    </w:p>
    <w:p>
      <w:pPr>
        <w:pStyle w:val="16"/>
        <w:numPr>
          <w:ilvl w:val="0"/>
          <w:numId w:val="9"/>
        </w:numPr>
        <w:tabs>
          <w:tab w:val="left" w:pos="797"/>
        </w:tabs>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退货处理：乙方应退还甲方支付的合同款，同时应承担该货物的直接费用（运输、保险、检验、货款利息及银行手续费等）。</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在质保期内，乙方应对货物出现的质量及安全问题负责处理解决并承担一切费用。</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十一、调试和验收</w:t>
      </w:r>
    </w:p>
    <w:p>
      <w:pPr>
        <w:pStyle w:val="16"/>
        <w:numPr>
          <w:ilvl w:val="0"/>
          <w:numId w:val="10"/>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甲方对乙方提交的货物依据招标文件上的技术规格要求和国家有关质量标准进行现场验收。货到后，甲方需在二十个工作日内验收（质量等隐蔽瑕疵除外）。</w:t>
      </w:r>
    </w:p>
    <w:p>
      <w:pPr>
        <w:pStyle w:val="16"/>
        <w:numPr>
          <w:ilvl w:val="0"/>
          <w:numId w:val="10"/>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6"/>
        <w:numPr>
          <w:ilvl w:val="0"/>
          <w:numId w:val="10"/>
        </w:numPr>
        <w:tabs>
          <w:tab w:val="left" w:pos="522"/>
        </w:tabs>
        <w:spacing w:before="0"/>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6"/>
        <w:numPr>
          <w:ilvl w:val="0"/>
          <w:numId w:val="10"/>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对技术复杂的货物，甲方应请国家认可的专业检测机构参与验收，并由其出具质量检测报告。</w:t>
      </w:r>
    </w:p>
    <w:p>
      <w:pPr>
        <w:pStyle w:val="16"/>
        <w:numPr>
          <w:ilvl w:val="0"/>
          <w:numId w:val="10"/>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验收时乙方必须在现场，验收完毕后作出验收结果报告；验收费用由乙方负责。</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十二、货物包装</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乙方应在货物发运前对其进行满足运输距离、防潮、防震、防锈和防破损装卸等要求包装，以保证货物安全运达甲方指定地点。</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使用说明书、质量检验证明书、随配附件和工具以及清单一并附于货物内。</w:t>
      </w:r>
    </w:p>
    <w:p>
      <w:pPr>
        <w:pStyle w:val="16"/>
        <w:tabs>
          <w:tab w:val="left" w:pos="522"/>
        </w:tabs>
        <w:ind w:left="0" w:right="4471" w:firstLine="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十三、违约责任</w:t>
      </w:r>
    </w:p>
    <w:p>
      <w:pPr>
        <w:pStyle w:val="16"/>
        <w:numPr>
          <w:ilvl w:val="0"/>
          <w:numId w:val="12"/>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甲方无正当理由拒收货物的，甲方向乙方偿付拒收货款总值的</w:t>
      </w:r>
      <w:r>
        <w:rPr>
          <w:rFonts w:hint="eastAsia" w:asciiTheme="minorEastAsia" w:hAnsiTheme="minorEastAsia" w:eastAsiaTheme="minorEastAsia" w:cstheme="minorEastAsia"/>
          <w:color w:val="000000" w:themeColor="text1"/>
          <w:spacing w:val="3"/>
          <w:sz w:val="24"/>
          <w:szCs w:val="24"/>
          <w:u w:val="single" w:color="4068E0"/>
          <w14:textFill>
            <w14:solidFill>
              <w14:schemeClr w14:val="tx1"/>
            </w14:solidFill>
          </w14:textFill>
        </w:rPr>
        <w:t xml:space="preserve"> 百分之五</w:t>
      </w:r>
      <w:r>
        <w:rPr>
          <w:rFonts w:hint="eastAsia" w:asciiTheme="minorEastAsia" w:hAnsiTheme="minorEastAsia" w:eastAsiaTheme="minorEastAsia" w:cstheme="minorEastAsia"/>
          <w:color w:val="000000" w:themeColor="text1"/>
          <w:spacing w:val="45"/>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违约金。</w:t>
      </w:r>
    </w:p>
    <w:p>
      <w:pPr>
        <w:pStyle w:val="16"/>
        <w:numPr>
          <w:ilvl w:val="0"/>
          <w:numId w:val="12"/>
        </w:numPr>
        <w:tabs>
          <w:tab w:val="left" w:pos="522"/>
        </w:tabs>
        <w:spacing w:before="117"/>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甲方无故逾期验收和办理货款支付手续的,甲方应按逾期付款总额每日</w:t>
      </w:r>
      <w:r>
        <w:rPr>
          <w:rFonts w:hint="eastAsia" w:asciiTheme="minorEastAsia" w:hAnsiTheme="minorEastAsia" w:eastAsiaTheme="minorEastAsia" w:cstheme="minorEastAsia"/>
          <w:color w:val="000000" w:themeColor="text1"/>
          <w:spacing w:val="2"/>
          <w:sz w:val="24"/>
          <w:szCs w:val="24"/>
          <w:u w:val="single" w:color="4068E0"/>
          <w14:textFill>
            <w14:solidFill>
              <w14:schemeClr w14:val="tx1"/>
            </w14:solidFill>
          </w14:textFill>
        </w:rPr>
        <w:t xml:space="preserve"> 万分之五</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向乙方支付违约金。</w:t>
      </w:r>
    </w:p>
    <w:p>
      <w:pPr>
        <w:pStyle w:val="16"/>
        <w:numPr>
          <w:ilvl w:val="0"/>
          <w:numId w:val="12"/>
        </w:numPr>
        <w:tabs>
          <w:tab w:val="left" w:pos="522"/>
        </w:tabs>
        <w:spacing w:before="118"/>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乙方逾期交付货物的，乙方应按逾期交货总额每日</w:t>
      </w:r>
      <w:r>
        <w:rPr>
          <w:rFonts w:hint="eastAsia" w:asciiTheme="minorEastAsia" w:hAnsiTheme="minorEastAsia" w:eastAsiaTheme="minorEastAsia" w:cstheme="minorEastAsia"/>
          <w:color w:val="000000" w:themeColor="text1"/>
          <w:spacing w:val="15"/>
          <w:sz w:val="24"/>
          <w:szCs w:val="24"/>
          <w:u w:val="single" w:color="4068E0"/>
          <w14:textFill>
            <w14:solidFill>
              <w14:schemeClr w14:val="tx1"/>
            </w14:solidFill>
          </w14:textFill>
        </w:rPr>
        <w:t xml:space="preserve"> 千分之六</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向甲方支付违约金，由甲方从待付货款中扣除。逾期超过约定日期   10 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5</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%的违约金，如造成甲方损失超过违约金的，超出部分由乙方继续承担赔偿责任。</w:t>
      </w:r>
    </w:p>
    <w:p>
      <w:pPr>
        <w:pStyle w:val="16"/>
        <w:numPr>
          <w:ilvl w:val="0"/>
          <w:numId w:val="12"/>
        </w:num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十四、不可抗力事件处理</w:t>
      </w:r>
    </w:p>
    <w:p>
      <w:pPr>
        <w:pStyle w:val="16"/>
        <w:numPr>
          <w:ilvl w:val="0"/>
          <w:numId w:val="13"/>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在合同有效期内，任何一方因不可抗力事件导致不能履行合同，双方协商后，则合同履行期可延长，其延长期与不可抗力影响期相同。</w:t>
      </w:r>
    </w:p>
    <w:p>
      <w:pPr>
        <w:pStyle w:val="16"/>
        <w:numPr>
          <w:ilvl w:val="0"/>
          <w:numId w:val="13"/>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不可抗力事件发生后，应立即通知对方，并寄送有关权威机构出具的证明。</w:t>
      </w:r>
    </w:p>
    <w:p>
      <w:pPr>
        <w:pStyle w:val="16"/>
        <w:numPr>
          <w:ilvl w:val="0"/>
          <w:numId w:val="13"/>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 xml:space="preserve">不可抗力事件延续 </w:t>
      </w:r>
      <w:r>
        <w:rPr>
          <w:rFonts w:hint="eastAsia" w:asciiTheme="minorEastAsia" w:hAnsiTheme="minorEastAsia" w:eastAsiaTheme="minorEastAsia" w:cstheme="minorEastAsia"/>
          <w:color w:val="000000" w:themeColor="text1"/>
          <w:sz w:val="24"/>
          <w:szCs w:val="24"/>
          <w14:textFill>
            <w14:solidFill>
              <w14:schemeClr w14:val="tx1"/>
            </w14:solidFill>
          </w14:textFill>
        </w:rPr>
        <w:t>120天以上，双方可以通过友好协商，确定是否继续履行合同。</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十五、诉讼</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双方在执行合同中所发生的一切争议，应通过协商解决。如协商不成，可向甲方所在地法院起诉。</w:t>
      </w:r>
    </w:p>
    <w:p>
      <w:pPr>
        <w:pStyle w:val="2"/>
        <w:spacing w:before="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十六、合同生效及其它</w:t>
      </w:r>
    </w:p>
    <w:p>
      <w:pPr>
        <w:pStyle w:val="16"/>
        <w:numPr>
          <w:ilvl w:val="0"/>
          <w:numId w:val="14"/>
        </w:numPr>
        <w:tabs>
          <w:tab w:val="left" w:pos="522"/>
        </w:tabs>
        <w:ind w:hanging="1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本合同经甲、乙双方签字并加盖单位公章后生效。</w:t>
      </w:r>
    </w:p>
    <w:p>
      <w:pPr>
        <w:pStyle w:val="16"/>
        <w:numPr>
          <w:ilvl w:val="0"/>
          <w:numId w:val="14"/>
        </w:numPr>
        <w:tabs>
          <w:tab w:val="left" w:pos="522"/>
        </w:tabs>
        <w:ind w:left="111" w:right="101" w:firstLine="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招标文件、投标文件、项目采购协议或入围承诺书与本合同具有同等法律效力。如前述各项文件之间约定不一致的，应以最新签署的文件内容为准。</w:t>
      </w:r>
    </w:p>
    <w:p>
      <w:pPr>
        <w:pStyle w:val="16"/>
        <w:numPr>
          <w:ilvl w:val="0"/>
          <w:numId w:val="14"/>
        </w:numPr>
        <w:tabs>
          <w:tab w:val="left" w:pos="522"/>
        </w:tabs>
        <w:spacing w:befor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本合同未尽事宜，以招投标文件为准。</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本合同一式三份，甲方执二份，乙方执一份，具有同等法律效力。</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附件设备配置清单系本合同不可分割的组成部分，与本合同具有同等法律效力。</w:t>
      </w: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 温州市中医院</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地址：温州市六虹桥路蛟尾路9号                     地址：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法定（授权）代表人：                              法定（授权）代表人：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签字日期：    年    月    日                      签字日期：    年   月   日</w:t>
      </w:r>
    </w:p>
    <w:p>
      <w:pPr>
        <w:widowControl/>
        <w:jc w:val="left"/>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sz w:val="24"/>
          <w:szCs w:val="24"/>
        </w:rP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21"/>
                <w:szCs w:val="21"/>
              </w:rPr>
            </w:pPr>
            <w:r>
              <w:rPr>
                <w:rFonts w:hint="eastAsia"/>
                <w:b/>
                <w:sz w:val="21"/>
                <w:szCs w:val="21"/>
              </w:rPr>
              <w:t>序号</w:t>
            </w:r>
          </w:p>
        </w:tc>
        <w:tc>
          <w:tcPr>
            <w:tcW w:w="992" w:type="dxa"/>
            <w:vAlign w:val="center"/>
          </w:tcPr>
          <w:p>
            <w:pPr>
              <w:jc w:val="center"/>
              <w:rPr>
                <w:b/>
                <w:sz w:val="21"/>
                <w:szCs w:val="21"/>
              </w:rPr>
            </w:pPr>
            <w:r>
              <w:rPr>
                <w:rFonts w:hint="eastAsia"/>
                <w:b/>
                <w:sz w:val="21"/>
                <w:szCs w:val="21"/>
              </w:rPr>
              <w:t>品牌</w:t>
            </w:r>
          </w:p>
        </w:tc>
        <w:tc>
          <w:tcPr>
            <w:tcW w:w="2934" w:type="dxa"/>
            <w:vAlign w:val="center"/>
          </w:tcPr>
          <w:p>
            <w:pPr>
              <w:jc w:val="center"/>
              <w:rPr>
                <w:b/>
                <w:sz w:val="21"/>
                <w:szCs w:val="21"/>
              </w:rPr>
            </w:pPr>
            <w:r>
              <w:rPr>
                <w:rFonts w:hint="eastAsia"/>
                <w:b/>
                <w:sz w:val="21"/>
                <w:szCs w:val="21"/>
              </w:rPr>
              <w:t>产品名称</w:t>
            </w:r>
          </w:p>
        </w:tc>
        <w:tc>
          <w:tcPr>
            <w:tcW w:w="1815" w:type="dxa"/>
            <w:vAlign w:val="center"/>
          </w:tcPr>
          <w:p>
            <w:pPr>
              <w:jc w:val="center"/>
              <w:rPr>
                <w:b/>
                <w:sz w:val="21"/>
                <w:szCs w:val="21"/>
              </w:rPr>
            </w:pPr>
            <w:r>
              <w:rPr>
                <w:rFonts w:hint="eastAsia"/>
                <w:b/>
                <w:sz w:val="21"/>
                <w:szCs w:val="21"/>
              </w:rPr>
              <w:t>规格型号</w:t>
            </w:r>
          </w:p>
        </w:tc>
        <w:tc>
          <w:tcPr>
            <w:tcW w:w="705" w:type="dxa"/>
            <w:vAlign w:val="center"/>
          </w:tcPr>
          <w:p>
            <w:pPr>
              <w:jc w:val="center"/>
              <w:rPr>
                <w:b/>
                <w:sz w:val="21"/>
                <w:szCs w:val="21"/>
              </w:rPr>
            </w:pPr>
            <w:r>
              <w:rPr>
                <w:rFonts w:hint="eastAsia"/>
                <w:b/>
                <w:sz w:val="21"/>
                <w:szCs w:val="21"/>
              </w:rPr>
              <w:t>数量</w:t>
            </w:r>
          </w:p>
        </w:tc>
        <w:tc>
          <w:tcPr>
            <w:tcW w:w="1110" w:type="dxa"/>
            <w:vAlign w:val="center"/>
          </w:tcPr>
          <w:p>
            <w:pPr>
              <w:jc w:val="center"/>
              <w:rPr>
                <w:b/>
                <w:sz w:val="21"/>
                <w:szCs w:val="21"/>
              </w:rPr>
            </w:pPr>
            <w:r>
              <w:rPr>
                <w:rFonts w:hint="eastAsia"/>
                <w:b/>
                <w:sz w:val="21"/>
                <w:szCs w:val="21"/>
              </w:rPr>
              <w:t>金额（元）</w:t>
            </w:r>
          </w:p>
        </w:tc>
        <w:tc>
          <w:tcPr>
            <w:tcW w:w="930" w:type="dxa"/>
            <w:vAlign w:val="center"/>
          </w:tcPr>
          <w:p>
            <w:pPr>
              <w:jc w:val="center"/>
              <w:rPr>
                <w:b/>
                <w:sz w:val="21"/>
                <w:szCs w:val="21"/>
              </w:rPr>
            </w:pPr>
            <w:r>
              <w:rPr>
                <w:rFonts w:hint="eastAsia"/>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5</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6</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7</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8</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9</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10</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2B7EBE"/>
    <w:rsid w:val="037819C8"/>
    <w:rsid w:val="04165086"/>
    <w:rsid w:val="079468F0"/>
    <w:rsid w:val="0A277157"/>
    <w:rsid w:val="0A323667"/>
    <w:rsid w:val="0B691EBF"/>
    <w:rsid w:val="0D6B27A0"/>
    <w:rsid w:val="0D737863"/>
    <w:rsid w:val="10827943"/>
    <w:rsid w:val="11D15B1C"/>
    <w:rsid w:val="11D56F8A"/>
    <w:rsid w:val="129A029D"/>
    <w:rsid w:val="12C9410A"/>
    <w:rsid w:val="14C02644"/>
    <w:rsid w:val="157B401A"/>
    <w:rsid w:val="165B3C1A"/>
    <w:rsid w:val="17453125"/>
    <w:rsid w:val="184F31D7"/>
    <w:rsid w:val="1A2E6DE6"/>
    <w:rsid w:val="1D4821A9"/>
    <w:rsid w:val="202B56B1"/>
    <w:rsid w:val="22723315"/>
    <w:rsid w:val="22CF7097"/>
    <w:rsid w:val="232E51F6"/>
    <w:rsid w:val="23884864"/>
    <w:rsid w:val="27E45486"/>
    <w:rsid w:val="2B057E38"/>
    <w:rsid w:val="2BA52826"/>
    <w:rsid w:val="2C32233B"/>
    <w:rsid w:val="2D7F5632"/>
    <w:rsid w:val="2EB05F76"/>
    <w:rsid w:val="2FBD42B3"/>
    <w:rsid w:val="30D412A1"/>
    <w:rsid w:val="30E84F1F"/>
    <w:rsid w:val="316641F0"/>
    <w:rsid w:val="31F8416E"/>
    <w:rsid w:val="32CE7A3F"/>
    <w:rsid w:val="33951D5C"/>
    <w:rsid w:val="34117E05"/>
    <w:rsid w:val="351B0D6F"/>
    <w:rsid w:val="35633FD8"/>
    <w:rsid w:val="37C66C9B"/>
    <w:rsid w:val="3BB420F5"/>
    <w:rsid w:val="3DB75172"/>
    <w:rsid w:val="3F1B3C4A"/>
    <w:rsid w:val="402E62DF"/>
    <w:rsid w:val="402F4957"/>
    <w:rsid w:val="405108FA"/>
    <w:rsid w:val="4136403A"/>
    <w:rsid w:val="41EF774F"/>
    <w:rsid w:val="42660058"/>
    <w:rsid w:val="43824C1A"/>
    <w:rsid w:val="449C5243"/>
    <w:rsid w:val="449E2D2B"/>
    <w:rsid w:val="46094A05"/>
    <w:rsid w:val="460A3EB2"/>
    <w:rsid w:val="477517FF"/>
    <w:rsid w:val="479F5F87"/>
    <w:rsid w:val="497E50E4"/>
    <w:rsid w:val="4A254910"/>
    <w:rsid w:val="4B956476"/>
    <w:rsid w:val="4D3D3121"/>
    <w:rsid w:val="4DCB17F7"/>
    <w:rsid w:val="53423D16"/>
    <w:rsid w:val="534B0A6F"/>
    <w:rsid w:val="539D45B7"/>
    <w:rsid w:val="53CA557A"/>
    <w:rsid w:val="545A32FC"/>
    <w:rsid w:val="547D6E0D"/>
    <w:rsid w:val="584110E8"/>
    <w:rsid w:val="587C329C"/>
    <w:rsid w:val="595B205E"/>
    <w:rsid w:val="5A4777C5"/>
    <w:rsid w:val="5A6E001E"/>
    <w:rsid w:val="5DEC7787"/>
    <w:rsid w:val="5DFE7766"/>
    <w:rsid w:val="60F93F09"/>
    <w:rsid w:val="683E0693"/>
    <w:rsid w:val="685E7C65"/>
    <w:rsid w:val="68AB5C34"/>
    <w:rsid w:val="698F00A6"/>
    <w:rsid w:val="6A800692"/>
    <w:rsid w:val="6BF3478F"/>
    <w:rsid w:val="6DE10695"/>
    <w:rsid w:val="6E6658CD"/>
    <w:rsid w:val="6F1A55B9"/>
    <w:rsid w:val="711B411C"/>
    <w:rsid w:val="7392213F"/>
    <w:rsid w:val="739F5CC0"/>
    <w:rsid w:val="748F3673"/>
    <w:rsid w:val="772F4719"/>
    <w:rsid w:val="773504DF"/>
    <w:rsid w:val="78667688"/>
    <w:rsid w:val="7A192AA7"/>
    <w:rsid w:val="7B395E66"/>
    <w:rsid w:val="7C4831AB"/>
    <w:rsid w:val="7E47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Emphasis"/>
    <w:qFormat/>
    <w:uiPriority w:val="20"/>
    <w:rPr>
      <w:i/>
      <w:iCs/>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7">
    <w:name w:val="NormalCharacter"/>
    <w:semiHidden/>
    <w:qFormat/>
    <w:uiPriority w:val="0"/>
  </w:style>
  <w:style w:type="character" w:customStyle="1" w:styleId="18">
    <w:name w:val="font3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character" w:customStyle="1" w:styleId="20">
    <w:name w:val="font4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10</Pages>
  <Words>6617</Words>
  <Characters>6859</Characters>
  <Lines>6</Lines>
  <Paragraphs>1</Paragraphs>
  <TotalTime>0</TotalTime>
  <ScaleCrop>false</ScaleCrop>
  <LinksUpToDate>false</LinksUpToDate>
  <CharactersWithSpaces>7361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2022-05-03T03:03:32Z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