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hint="default" w:asciiTheme="minorEastAsia" w:hAnsiTheme="minorEastAsia" w:eastAsiaTheme="minorEastAsia" w:cstheme="minorEastAsia"/>
          <w:b/>
          <w:bCs/>
          <w:sz w:val="32"/>
          <w:szCs w:val="32"/>
          <w:lang w:val="en-US" w:eastAsia="zh-CN"/>
        </w:rPr>
      </w:pPr>
      <w:r>
        <w:rPr>
          <w:rStyle w:val="11"/>
          <w:rFonts w:hint="eastAsia" w:asciiTheme="minorEastAsia" w:hAnsiTheme="minorEastAsia" w:cstheme="minorEastAsia"/>
          <w:b/>
          <w:bCs/>
          <w:sz w:val="32"/>
          <w:szCs w:val="32"/>
          <w:lang w:val="en-US" w:eastAsia="zh-CN"/>
        </w:rPr>
        <w:t>招标文件</w:t>
      </w:r>
    </w:p>
    <w:p>
      <w:pPr>
        <w:numPr>
          <w:ilvl w:val="0"/>
          <w:numId w:val="1"/>
        </w:numPr>
        <w:jc w:val="both"/>
        <w:rPr>
          <w:rStyle w:val="11"/>
          <w:rFonts w:hint="eastAsia" w:asciiTheme="minorEastAsia" w:hAnsiTheme="minorEastAsia" w:eastAsiaTheme="minorEastAsia" w:cstheme="minorEastAsia"/>
          <w:b w:val="0"/>
          <w:bCs w:val="0"/>
          <w:sz w:val="32"/>
          <w:szCs w:val="32"/>
        </w:rPr>
      </w:pPr>
      <w:r>
        <w:rPr>
          <w:rStyle w:val="11"/>
          <w:rFonts w:hint="eastAsia" w:asciiTheme="minorEastAsia" w:hAnsiTheme="minorEastAsia" w:eastAsiaTheme="minorEastAsia" w:cstheme="minorEastAsia"/>
          <w:b w:val="0"/>
          <w:bCs w:val="0"/>
          <w:sz w:val="32"/>
          <w:szCs w:val="32"/>
        </w:rPr>
        <w:t>项目基本情况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tcPr>
          <w:p>
            <w:pPr>
              <w:jc w:val="both"/>
              <w:rPr>
                <w:rFonts w:hint="default" w:asciiTheme="minorEastAsia" w:hAnsiTheme="minorEastAsia" w:eastAsiaTheme="minorEastAsia" w:cstheme="minorEastAsia"/>
                <w:b w:val="0"/>
                <w:bCs w:val="0"/>
                <w:sz w:val="24"/>
                <w:szCs w:val="24"/>
                <w:vertAlign w:val="baseline"/>
                <w:lang w:val="en-US"/>
              </w:rPr>
            </w:pPr>
            <w:r>
              <w:rPr>
                <w:rFonts w:hint="eastAsia" w:asciiTheme="minorEastAsia" w:hAnsiTheme="minorEastAsia" w:eastAsiaTheme="minorEastAsia" w:cstheme="minorEastAsia"/>
                <w:b w:val="0"/>
                <w:bCs w:val="0"/>
                <w:sz w:val="24"/>
                <w:szCs w:val="24"/>
              </w:rPr>
              <w:t>项目编号：</w:t>
            </w:r>
            <w:r>
              <w:rPr>
                <w:rFonts w:hint="eastAsia" w:asciiTheme="minorEastAsia" w:hAnsiTheme="minorEastAsia" w:cstheme="minorEastAsia"/>
                <w:sz w:val="24"/>
                <w:szCs w:val="24"/>
                <w:vertAlign w:val="baseline"/>
                <w:lang w:val="en-US" w:eastAsia="zh-CN"/>
              </w:rPr>
              <w:t>2022-sb-cg-003</w:t>
            </w:r>
          </w:p>
        </w:tc>
        <w:tc>
          <w:tcPr>
            <w:tcW w:w="4644" w:type="dxa"/>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项目名称：麻醉呼吸晃回路消毒机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44" w:type="dxa"/>
          </w:tcPr>
          <w:p>
            <w:pPr>
              <w:jc w:val="both"/>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rPr>
              <w:t>数量:</w:t>
            </w:r>
            <w:r>
              <w:rPr>
                <w:rFonts w:hint="eastAsia" w:asciiTheme="minorEastAsia" w:hAnsiTheme="minorEastAsia" w:cstheme="minorEastAsia"/>
                <w:b w:val="0"/>
                <w:bCs w:val="0"/>
                <w:sz w:val="24"/>
                <w:szCs w:val="24"/>
                <w:lang w:val="en-US" w:eastAsia="zh-CN"/>
              </w:rPr>
              <w:t>1台</w:t>
            </w:r>
          </w:p>
        </w:tc>
        <w:tc>
          <w:tcPr>
            <w:tcW w:w="4644" w:type="dxa"/>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单价</w:t>
            </w:r>
            <w:r>
              <w:rPr>
                <w:rFonts w:hint="eastAsia" w:asciiTheme="minorEastAsia" w:hAnsiTheme="minorEastAsia" w:eastAsiaTheme="minorEastAsia" w:cstheme="minorEastAsia"/>
                <w:b w:val="0"/>
                <w:bCs w:val="0"/>
                <w:sz w:val="24"/>
                <w:szCs w:val="24"/>
              </w:rPr>
              <w:t>（元）:</w:t>
            </w:r>
            <w:r>
              <w:rPr>
                <w:rFonts w:hint="eastAsia" w:asciiTheme="minorEastAsia" w:hAnsiTheme="minorEastAsia" w:cstheme="minorEastAsia"/>
                <w:b w:val="0"/>
                <w:bCs w:val="0"/>
                <w:sz w:val="24"/>
                <w:szCs w:val="24"/>
                <w:lang w:val="en-US" w:eastAsia="zh-CN"/>
              </w:rPr>
              <w:t>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总</w:t>
            </w:r>
            <w:r>
              <w:rPr>
                <w:rFonts w:hint="eastAsia" w:asciiTheme="minorEastAsia" w:hAnsiTheme="minorEastAsia" w:eastAsiaTheme="minorEastAsia" w:cstheme="minorEastAsia"/>
                <w:b w:val="0"/>
                <w:bCs w:val="0"/>
                <w:sz w:val="24"/>
                <w:szCs w:val="24"/>
              </w:rPr>
              <w:t>金额（元）:</w:t>
            </w:r>
            <w:r>
              <w:rPr>
                <w:rFonts w:hint="eastAsia" w:asciiTheme="minorEastAsia" w:hAnsiTheme="minorEastAsia" w:cstheme="minorEastAsia"/>
                <w:b w:val="0"/>
                <w:bCs w:val="0"/>
                <w:sz w:val="24"/>
                <w:szCs w:val="24"/>
                <w:lang w:val="en-US" w:eastAsia="zh-CN"/>
              </w:rPr>
              <w:t>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sz w:val="24"/>
                <w:szCs w:val="24"/>
              </w:rPr>
              <w:t>简要规格描述或项目基本概况介绍、用途：</w:t>
            </w:r>
            <w:r>
              <w:rPr>
                <w:rFonts w:hint="eastAsia" w:ascii="宋体" w:hAnsi="宋体" w:cs="宋体"/>
                <w:color w:val="000000" w:themeColor="text1"/>
                <w:sz w:val="24"/>
                <w:szCs w:val="24"/>
                <w:lang w:val="en-US" w:eastAsia="zh-CN"/>
                <w14:textFill>
                  <w14:solidFill>
                    <w14:schemeClr w14:val="tx1"/>
                  </w14:solidFill>
                </w14:textFill>
              </w:rPr>
              <w:t>供医疗单位对麻醉机、呼吸机回路内部消毒时使用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sz w:val="24"/>
                <w:szCs w:val="24"/>
              </w:rPr>
              <w:t>备注：</w:t>
            </w:r>
            <w:r>
              <w:rPr>
                <w:rFonts w:hint="eastAsia" w:asciiTheme="minorEastAsia" w:hAnsiTheme="minorEastAsia" w:cstheme="minorEastAsia"/>
                <w:sz w:val="24"/>
                <w:szCs w:val="24"/>
                <w:lang w:val="en-US" w:eastAsia="zh-CN"/>
              </w:rPr>
              <w:t>国产</w:t>
            </w:r>
          </w:p>
        </w:tc>
      </w:tr>
    </w:tbl>
    <w:p>
      <w:pPr>
        <w:jc w:val="both"/>
        <w:rPr>
          <w:rFonts w:hint="eastAsia" w:asciiTheme="minorEastAsia" w:hAnsiTheme="minorEastAsia" w:eastAsiaTheme="minorEastAsia" w:cstheme="minorEastAsia"/>
          <w:b w:val="0"/>
          <w:bCs w:val="0"/>
          <w:sz w:val="24"/>
          <w:szCs w:val="24"/>
        </w:rPr>
      </w:pPr>
    </w:p>
    <w:p>
      <w:pPr>
        <w:numPr>
          <w:ilvl w:val="0"/>
          <w:numId w:val="1"/>
        </w:numPr>
        <w:jc w:val="both"/>
        <w:rPr>
          <w:rStyle w:val="11"/>
          <w:rFonts w:hint="default" w:asciiTheme="minorEastAsia" w:hAnsiTheme="minorEastAsia" w:eastAsiaTheme="minorEastAsia" w:cstheme="minorEastAsia"/>
          <w:b w:val="0"/>
          <w:bCs w:val="0"/>
          <w:sz w:val="32"/>
          <w:szCs w:val="32"/>
          <w:lang w:val="en-US" w:eastAsia="zh-CN"/>
        </w:rPr>
      </w:pPr>
      <w:r>
        <w:rPr>
          <w:rStyle w:val="11"/>
          <w:rFonts w:hint="eastAsia" w:asciiTheme="minorEastAsia" w:hAnsiTheme="minorEastAsia" w:cstheme="minorEastAsia"/>
          <w:b w:val="0"/>
          <w:bCs w:val="0"/>
          <w:sz w:val="32"/>
          <w:szCs w:val="32"/>
          <w:lang w:val="en-US" w:eastAsia="zh-CN"/>
        </w:rPr>
        <w:t>采购方式和定标原则</w:t>
      </w:r>
    </w:p>
    <w:p>
      <w:pPr>
        <w:numPr>
          <w:ilvl w:val="0"/>
          <w:numId w:val="0"/>
        </w:numPr>
        <w:jc w:val="both"/>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w:t>
      </w:r>
      <w:r>
        <w:rPr>
          <w:rFonts w:hint="eastAsia" w:asciiTheme="minorEastAsia" w:hAnsiTheme="minorEastAsia" w:cstheme="minorEastAsia"/>
          <w:sz w:val="24"/>
          <w:szCs w:val="24"/>
          <w:lang w:val="en-US" w:eastAsia="zh-CN"/>
        </w:rPr>
        <w:t>项目我院采取院内组织公开招标的方式，以综合评分最高者中标的原则确定中标供应商。</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pPr>
      <w:r>
        <w:rPr>
          <w:rStyle w:val="11"/>
          <w:rFonts w:hint="eastAsia" w:eastAsia="宋体" w:asciiTheme="minorEastAsia" w:hAnsiTheme="minorEastAsia" w:cstheme="minorEastAsia"/>
          <w:b w:val="0"/>
          <w:bCs w:val="0"/>
          <w:kern w:val="2"/>
          <w:sz w:val="32"/>
          <w:szCs w:val="32"/>
          <w:lang w:val="en-US" w:eastAsia="zh-CN" w:bidi="ar-SA"/>
        </w:rPr>
        <w:t>获取招标文件</w:t>
      </w:r>
    </w:p>
    <w:p>
      <w:pPr>
        <w:pStyle w:val="6"/>
        <w:keepNext w:val="0"/>
        <w:keepLines w:val="0"/>
        <w:widowControl/>
        <w:suppressLineNumbers w:val="0"/>
        <w:spacing w:line="300" w:lineRule="atLeast"/>
        <w:ind w:firstLine="720"/>
        <w:rPr>
          <w:rFonts w:hint="eastAsia"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lang w:val="en-US" w:eastAsia="zh-CN" w:bidi="ar-SA"/>
        </w:rPr>
        <w:t>地点（网址）</w:t>
      </w:r>
      <w:r>
        <w:rPr>
          <w:rFonts w:hint="eastAsia" w:asciiTheme="minorEastAsia" w:hAnsiTheme="minorEastAsia" w:eastAsiaTheme="minorEastAsia" w:cstheme="minorEastAsia"/>
          <w:kern w:val="2"/>
          <w:sz w:val="24"/>
          <w:szCs w:val="24"/>
          <w:highlight w:val="none"/>
          <w:lang w:val="en-US" w:eastAsia="zh-CN" w:bidi="ar-SA"/>
        </w:rPr>
        <w:t>：</w:t>
      </w:r>
      <w:r>
        <w:rPr>
          <w:rFonts w:hint="eastAsia" w:asciiTheme="minorEastAsia" w:hAnsiTheme="minorEastAsia" w:cstheme="minorEastAsia"/>
          <w:kern w:val="2"/>
          <w:szCs w:val="24"/>
          <w:highlight w:val="none"/>
          <w:lang w:eastAsia="zh-CN"/>
        </w:rPr>
        <w:t>h</w:t>
      </w:r>
      <w:r>
        <w:rPr>
          <w:rFonts w:hint="eastAsia" w:asciiTheme="minorEastAsia" w:hAnsiTheme="minorEastAsia" w:cstheme="minorEastAsia"/>
          <w:kern w:val="2"/>
          <w:szCs w:val="24"/>
          <w:lang w:eastAsia="zh-CN"/>
        </w:rPr>
        <w:t>ttp://www.wzszyy.com/</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eastAsia="宋体" w:asciiTheme="minorEastAsia" w:hAnsiTheme="minorEastAsia" w:cstheme="minorEastAsia"/>
          <w:b w:val="0"/>
          <w:bCs w:val="0"/>
          <w:kern w:val="2"/>
          <w:sz w:val="32"/>
          <w:szCs w:val="32"/>
          <w:lang w:val="en-US" w:eastAsia="zh-CN" w:bidi="ar-SA"/>
        </w:rPr>
      </w:pPr>
      <w:r>
        <w:rPr>
          <w:rStyle w:val="11"/>
          <w:rFonts w:hint="eastAsia" w:eastAsia="宋体" w:asciiTheme="minorEastAsia" w:hAnsiTheme="minorEastAsia" w:cstheme="minorEastAsia"/>
          <w:b w:val="0"/>
          <w:bCs w:val="0"/>
          <w:kern w:val="2"/>
          <w:sz w:val="32"/>
          <w:szCs w:val="32"/>
          <w:lang w:val="en-US" w:eastAsia="zh-CN" w:bidi="ar-SA"/>
        </w:rPr>
        <w:t>提交投标文件截止时间、开标时间和地点</w:t>
      </w:r>
    </w:p>
    <w:p>
      <w:pPr>
        <w:pStyle w:val="6"/>
        <w:widowControl/>
        <w:spacing w:line="300" w:lineRule="atLeast"/>
        <w:rPr>
          <w:rFonts w:asciiTheme="minorEastAsia" w:hAnsiTheme="minorEastAsia" w:cstheme="minorEastAsia"/>
          <w:kern w:val="2"/>
          <w:szCs w:val="24"/>
        </w:rPr>
      </w:pPr>
      <w:r>
        <w:rPr>
          <w:rFonts w:hint="eastAsia" w:asciiTheme="minorEastAsia" w:hAnsiTheme="minorEastAsia" w:eastAsiaTheme="minorEastAsia" w:cstheme="minorEastAsia"/>
          <w:kern w:val="2"/>
          <w:sz w:val="24"/>
          <w:szCs w:val="24"/>
          <w:lang w:val="en-US" w:eastAsia="zh-CN" w:bidi="ar-SA"/>
        </w:rPr>
        <w:t>提交投标文件截止时间：</w:t>
      </w:r>
      <w:r>
        <w:rPr>
          <w:rFonts w:hint="eastAsia" w:asciiTheme="minorEastAsia" w:hAnsiTheme="minorEastAsia" w:cstheme="minorEastAsia"/>
          <w:kern w:val="2"/>
          <w:szCs w:val="24"/>
        </w:rPr>
        <w:t>2022年5月4日早上9：00</w:t>
      </w:r>
    </w:p>
    <w:p>
      <w:pPr>
        <w:pStyle w:val="6"/>
        <w:keepNext w:val="0"/>
        <w:keepLines w:val="0"/>
        <w:widowControl/>
        <w:suppressLineNumbers w:val="0"/>
        <w:spacing w:line="300" w:lineRule="atLeast"/>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开标时间：</w:t>
      </w:r>
      <w:r>
        <w:rPr>
          <w:rFonts w:hint="eastAsia" w:asciiTheme="minorEastAsia" w:hAnsiTheme="minorEastAsia" w:cstheme="minorEastAsia"/>
          <w:kern w:val="2"/>
          <w:sz w:val="24"/>
          <w:szCs w:val="24"/>
          <w:lang w:val="en-US" w:eastAsia="zh-CN" w:bidi="ar-SA"/>
        </w:rPr>
        <w:t>2022年5月4日早上9：00</w:t>
      </w:r>
    </w:p>
    <w:p>
      <w:pPr>
        <w:pStyle w:val="6"/>
        <w:widowControl/>
        <w:spacing w:line="300" w:lineRule="atLeas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开标地点</w:t>
      </w:r>
      <w:r>
        <w:rPr>
          <w:rFonts w:hint="eastAsia" w:asciiTheme="minorEastAsia" w:hAnsiTheme="minorEastAsia" w:cstheme="minorEastAsia"/>
          <w:kern w:val="2"/>
          <w:sz w:val="24"/>
          <w:szCs w:val="24"/>
          <w:lang w:val="en-US" w:eastAsia="zh-CN" w:bidi="ar-SA"/>
        </w:rPr>
        <w:t>：</w:t>
      </w:r>
      <w:r>
        <w:rPr>
          <w:rFonts w:hint="eastAsia" w:asciiTheme="minorEastAsia" w:hAnsiTheme="minorEastAsia" w:cstheme="minorEastAsia"/>
          <w:kern w:val="2"/>
          <w:szCs w:val="24"/>
          <w:lang w:val="en-US" w:eastAsia="zh-CN"/>
        </w:rPr>
        <w:t>温州市中医院行政楼3楼309会议室</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eastAsia="宋体" w:asciiTheme="minorEastAsia" w:hAnsiTheme="minorEastAsia" w:cstheme="minorEastAsia"/>
          <w:b w:val="0"/>
          <w:bCs w:val="0"/>
          <w:kern w:val="2"/>
          <w:sz w:val="32"/>
          <w:szCs w:val="32"/>
          <w:lang w:val="en-US" w:eastAsia="zh-CN" w:bidi="ar-SA"/>
        </w:rPr>
      </w:pPr>
      <w:r>
        <w:rPr>
          <w:rStyle w:val="11"/>
          <w:rFonts w:hint="eastAsia" w:eastAsia="宋体" w:asciiTheme="minorEastAsia" w:hAnsiTheme="minorEastAsia" w:cstheme="minorEastAsia"/>
          <w:b w:val="0"/>
          <w:bCs w:val="0"/>
          <w:kern w:val="2"/>
          <w:sz w:val="32"/>
          <w:szCs w:val="32"/>
          <w:lang w:val="en-US" w:eastAsia="zh-CN" w:bidi="ar-SA"/>
        </w:rPr>
        <w:t>公告期限 </w:t>
      </w:r>
    </w:p>
    <w:p>
      <w:pPr>
        <w:pStyle w:val="6"/>
        <w:keepNext w:val="0"/>
        <w:keepLines w:val="0"/>
        <w:widowControl/>
        <w:suppressLineNumbers w:val="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自本公告发布之日起5个工作日。</w:t>
      </w:r>
    </w:p>
    <w:p>
      <w:pPr>
        <w:numPr>
          <w:ilvl w:val="0"/>
          <w:numId w:val="1"/>
        </w:numPr>
        <w:ind w:left="0" w:leftChars="0" w:firstLine="0" w:firstLineChars="0"/>
        <w:jc w:val="both"/>
        <w:rPr>
          <w:rStyle w:val="11"/>
          <w:rFonts w:hint="eastAsia" w:eastAsia="宋体" w:asciiTheme="minorEastAsia" w:hAnsiTheme="minorEastAsia" w:cstheme="minorEastAsia"/>
          <w:b w:val="0"/>
          <w:bCs w:val="0"/>
          <w:kern w:val="2"/>
          <w:sz w:val="32"/>
          <w:szCs w:val="32"/>
          <w:lang w:val="en-US" w:eastAsia="zh-CN" w:bidi="ar-SA"/>
        </w:rPr>
      </w:pPr>
      <w:r>
        <w:rPr>
          <w:rStyle w:val="11"/>
          <w:rFonts w:hint="eastAsia" w:eastAsia="宋体" w:asciiTheme="minorEastAsia" w:hAnsiTheme="minorEastAsia" w:cstheme="minorEastAsia"/>
          <w:b w:val="0"/>
          <w:bCs w:val="0"/>
          <w:kern w:val="2"/>
          <w:sz w:val="32"/>
          <w:szCs w:val="32"/>
          <w:lang w:val="en-US" w:eastAsia="zh-CN" w:bidi="ar-SA"/>
        </w:rPr>
        <w:t>投标文件要求</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1.厂家三证</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2.所投产品注册证</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r>
        <w:rPr>
          <w:rFonts w:hint="eastAsia" w:asciiTheme="minorEastAsia" w:hAnsiTheme="minorEastAsia" w:cstheme="minorEastAsia"/>
          <w:kern w:val="2"/>
          <w:sz w:val="24"/>
          <w:szCs w:val="24"/>
          <w:lang w:val="en-US" w:eastAsia="zh-CN" w:bidi="ar-SA"/>
        </w:rPr>
        <w:t>厂家、</w:t>
      </w:r>
      <w:r>
        <w:rPr>
          <w:rFonts w:hint="eastAsia" w:asciiTheme="minorEastAsia" w:hAnsiTheme="minorEastAsia" w:eastAsiaTheme="minorEastAsia" w:cstheme="minorEastAsia"/>
          <w:kern w:val="2"/>
          <w:sz w:val="24"/>
          <w:szCs w:val="24"/>
          <w:lang w:val="en-US" w:eastAsia="zh-CN" w:bidi="ar-SA"/>
        </w:rPr>
        <w:t>供应商授权文件</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4.彩页资料</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5.技术参数偏离表</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6.配置清单及分项报价</w:t>
      </w:r>
    </w:p>
    <w:p>
      <w:pP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7.售后服务承诺；主要临配件更换价格</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8.市场占有率（提供近三年内浙江省内医院的合同完整复印件）</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9.公司认为有必要提供的文件</w:t>
      </w:r>
    </w:p>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kern w:val="2"/>
          <w:sz w:val="24"/>
          <w:szCs w:val="24"/>
          <w:lang w:val="en-US" w:eastAsia="zh-CN" w:bidi="ar-SA"/>
        </w:rPr>
      </w:pPr>
    </w:p>
    <w:p>
      <w:pPr>
        <w:numPr>
          <w:ilvl w:val="0"/>
          <w:numId w:val="1"/>
        </w:numPr>
        <w:ind w:left="0" w:leftChars="0" w:firstLine="0" w:firstLineChars="0"/>
        <w:jc w:val="both"/>
        <w:rPr>
          <w:rStyle w:val="11"/>
          <w:rFonts w:hint="default" w:eastAsia="宋体" w:asciiTheme="minorEastAsia" w:hAnsiTheme="minorEastAsia" w:cstheme="minorEastAsia"/>
          <w:b w:val="0"/>
          <w:bCs w:val="0"/>
          <w:kern w:val="2"/>
          <w:sz w:val="32"/>
          <w:szCs w:val="32"/>
          <w:lang w:val="en-US" w:eastAsia="zh-CN" w:bidi="ar-SA"/>
        </w:rPr>
      </w:pPr>
      <w:r>
        <w:rPr>
          <w:rStyle w:val="11"/>
          <w:rFonts w:hint="eastAsia" w:eastAsia="宋体" w:asciiTheme="minorEastAsia" w:hAnsiTheme="minorEastAsia" w:cstheme="minorEastAsia"/>
          <w:b w:val="0"/>
          <w:bCs w:val="0"/>
          <w:kern w:val="2"/>
          <w:sz w:val="32"/>
          <w:szCs w:val="32"/>
          <w:lang w:val="en-US" w:eastAsia="zh-CN" w:bidi="ar-SA"/>
        </w:rPr>
        <w:t>商务、技术参数偏离表</w:t>
      </w:r>
    </w:p>
    <w:p>
      <w:pPr>
        <w:rPr>
          <w:rFonts w:hint="eastAsia" w:asciiTheme="minorEastAsia" w:hAnsiTheme="minorEastAsia" w:eastAsiaTheme="minorEastAsia" w:cstheme="minorEastAsia"/>
          <w:kern w:val="2"/>
          <w:sz w:val="24"/>
          <w:szCs w:val="24"/>
          <w:lang w:val="en-US" w:eastAsia="zh-CN" w:bidi="ar-SA"/>
        </w:rPr>
      </w:pPr>
    </w:p>
    <w:tbl>
      <w:tblPr>
        <w:tblStyle w:val="9"/>
        <w:tblpPr w:leftFromText="180" w:rightFromText="180" w:vertAnchor="page" w:horzAnchor="page" w:tblpX="1219" w:tblpY="1945"/>
        <w:tblOverlap w:val="never"/>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6826"/>
        <w:gridCol w:w="1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kern w:val="0"/>
                <w:sz w:val="24"/>
                <w:szCs w:val="24"/>
              </w:rPr>
            </w:pPr>
            <w:r>
              <w:rPr>
                <w:rStyle w:val="17"/>
                <w:rFonts w:hint="eastAsia" w:asciiTheme="minorEastAsia" w:hAnsiTheme="minorEastAsia" w:eastAsiaTheme="minorEastAsia" w:cstheme="minorEastAsia"/>
                <w:b/>
                <w:sz w:val="24"/>
                <w:szCs w:val="24"/>
              </w:rPr>
              <w:t>序号</w:t>
            </w:r>
          </w:p>
        </w:tc>
        <w:tc>
          <w:tcPr>
            <w:tcW w:w="3587" w:type="pct"/>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b/>
                <w:kern w:val="0"/>
                <w:sz w:val="24"/>
                <w:szCs w:val="24"/>
                <w:lang w:val="en-US" w:eastAsia="zh-CN"/>
              </w:rPr>
              <w:t xml:space="preserve">                 商务、技术参数要求</w:t>
            </w:r>
          </w:p>
        </w:tc>
        <w:tc>
          <w:tcPr>
            <w:tcW w:w="989" w:type="pct"/>
          </w:tcPr>
          <w:p>
            <w:pPr>
              <w:rPr>
                <w:rFonts w:hint="eastAsia" w:asciiTheme="minorEastAsia" w:hAnsiTheme="minorEastAsia" w:eastAsiaTheme="minorEastAsia" w:cstheme="minorEastAsia"/>
                <w:b/>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kern w:val="0"/>
                <w:sz w:val="24"/>
                <w:szCs w:val="24"/>
              </w:rPr>
            </w:pP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
                <w:kern w:val="0"/>
                <w:sz w:val="24"/>
                <w:szCs w:val="24"/>
              </w:rPr>
              <w:t>光学生物测量仪</w:t>
            </w:r>
          </w:p>
        </w:tc>
        <w:tc>
          <w:tcPr>
            <w:tcW w:w="989" w:type="pct"/>
          </w:tcPr>
          <w:p>
            <w:pPr>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一</w:t>
            </w:r>
          </w:p>
        </w:tc>
        <w:tc>
          <w:tcPr>
            <w:tcW w:w="3587" w:type="pct"/>
          </w:tcPr>
          <w:p>
            <w:pPr>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技术参数</w:t>
            </w:r>
          </w:p>
        </w:tc>
        <w:tc>
          <w:tcPr>
            <w:tcW w:w="989" w:type="pct"/>
          </w:tcPr>
          <w:p>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Theme="minorEastAsia" w:hAnsiTheme="minorEastAsia" w:eastAsiaTheme="minorEastAsia" w:cstheme="minorEastAsia"/>
                <w:kern w:val="0"/>
                <w:sz w:val="24"/>
                <w:szCs w:val="24"/>
                <w:highlight w:val="none"/>
              </w:rPr>
              <w:t>功能：</w:t>
            </w:r>
            <w:r>
              <w:rPr>
                <w:rFonts w:hint="eastAsia" w:ascii="宋体" w:hAnsi="宋体" w:cs="宋体"/>
                <w:color w:val="000000" w:themeColor="text1"/>
                <w:sz w:val="24"/>
                <w:szCs w:val="24"/>
                <w:highlight w:val="none"/>
                <w:lang w:val="en-US" w:eastAsia="zh-CN"/>
                <w14:textFill>
                  <w14:solidFill>
                    <w14:schemeClr w14:val="tx1"/>
                  </w14:solidFill>
                </w14:textFill>
              </w:rPr>
              <w:t>供</w:t>
            </w:r>
            <w:r>
              <w:rPr>
                <w:rFonts w:hint="eastAsia" w:ascii="宋体" w:hAnsi="宋体" w:cs="宋体"/>
                <w:color w:val="000000" w:themeColor="text1"/>
                <w:sz w:val="24"/>
                <w:szCs w:val="24"/>
                <w:lang w:val="en-US" w:eastAsia="zh-CN"/>
                <w14:textFill>
                  <w14:solidFill>
                    <w14:schemeClr w14:val="tx1"/>
                  </w14:solidFill>
                </w14:textFill>
              </w:rPr>
              <w:t>医疗单位对麻醉机、呼吸机回路内部消毒时使用</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消毒因子：臭氧+消毒液雾化装置。</w:t>
            </w:r>
            <w:bookmarkStart w:id="0" w:name="_GoBack"/>
            <w:bookmarkEnd w:id="0"/>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3</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操控模式：≥7英寸嵌入式彩色触摸屏，全屏显示不超过两种消毒程序。</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输气速度：6.5L/min（±1.5）</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排气速度：5L/min（±2</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输入臭氧浓度：≥100mg/m3。</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臭氧排放浓度：≤0.16mg/m3。</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臭氧残留量：≤0.16mg/m3。</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雾化量：0.25mL/min（±0.15）</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消毒效果：枯草杆菌黑色变种芽孢平均杀灭对数值≥3.0，符合《消毒技术规范》的评价规定要求</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11</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异常报警：实时监测臭氧浓度变化，臭氧浓度异常自动报警；实时检测温度变化，消毒过程中，超温自动报警。</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12</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 xml:space="preserve">臭氧消毒器浓度标示值精度：±10%范围内。 </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13</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臭氧消毒器产生的氮氧化物浓度不得大于臭氧浓度的2.5%。</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14</w:t>
            </w:r>
          </w:p>
        </w:tc>
        <w:tc>
          <w:tcPr>
            <w:tcW w:w="3587" w:type="pct"/>
          </w:tcPr>
          <w:p>
            <w:pPr>
              <w:keepNext w:val="0"/>
              <w:keepLines w:val="0"/>
              <w:widowControl/>
              <w:suppressLineNumbers w:val="0"/>
              <w:jc w:val="left"/>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 xml:space="preserve">臭氧泄漏量：≤0.16mg/m3。 </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15</w:t>
            </w:r>
          </w:p>
        </w:tc>
        <w:tc>
          <w:tcPr>
            <w:tcW w:w="3587" w:type="pct"/>
          </w:tcPr>
          <w:p>
            <w:pPr>
              <w:keepNext w:val="0"/>
              <w:keepLines w:val="0"/>
              <w:widowControl/>
              <w:suppressLineNumbers w:val="0"/>
              <w:jc w:val="left"/>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 xml:space="preserve">臭氧发生器过滤装置滤膜孔径：≤0.1µm。 </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16</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 xml:space="preserve">雾化速率：0.1mL/min～0.4mL/min。 </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17</w:t>
            </w:r>
          </w:p>
        </w:tc>
        <w:tc>
          <w:tcPr>
            <w:tcW w:w="3587" w:type="pct"/>
          </w:tcPr>
          <w:p>
            <w:pPr>
              <w:keepNext w:val="0"/>
              <w:keepLines w:val="0"/>
              <w:widowControl/>
              <w:suppressLineNumbers w:val="0"/>
              <w:jc w:val="left"/>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雾化装置的气体流量：5L/min～ 12 L/min。</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w:t>
            </w:r>
          </w:p>
        </w:tc>
        <w:tc>
          <w:tcPr>
            <w:tcW w:w="3587" w:type="pct"/>
          </w:tcPr>
          <w:p>
            <w:pPr>
              <w:keepNext w:val="0"/>
              <w:keepLines w:val="0"/>
              <w:widowControl/>
              <w:suppressLineNumbers w:val="0"/>
              <w:jc w:val="left"/>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雾化装置的工作压力范围：150KPa～350 KPa。</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19</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噪音：麻醉呼吸回路消毒机的整机工作噪声应小于65dB（A计权）</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20</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相对湿度：消毒负载处的相对湿度≥70%。</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21</w:t>
            </w:r>
          </w:p>
        </w:tc>
        <w:tc>
          <w:tcPr>
            <w:tcW w:w="3587" w:type="pct"/>
          </w:tcPr>
          <w:p>
            <w:pPr>
              <w:rPr>
                <w:rFonts w:hint="eastAsia" w:asciiTheme="minorEastAsia" w:hAnsiTheme="minorEastAsia" w:eastAsiaTheme="minorEastAsia" w:cstheme="minorEastAsia"/>
                <w:kern w:val="0"/>
                <w:sz w:val="24"/>
                <w:szCs w:val="24"/>
                <w:highlight w:val="yellow"/>
              </w:rPr>
            </w:pPr>
            <w:r>
              <w:rPr>
                <w:rFonts w:hint="eastAsia" w:ascii="宋体" w:hAnsi="宋体" w:cs="宋体"/>
                <w:color w:val="000000" w:themeColor="text1"/>
                <w:sz w:val="24"/>
                <w:szCs w:val="24"/>
                <w:lang w:val="en-US" w:eastAsia="zh-CN"/>
                <w14:textFill>
                  <w14:solidFill>
                    <w14:schemeClr w14:val="tx1"/>
                  </w14:solidFill>
                </w14:textFill>
              </w:rPr>
              <w:t>时间定时的精度：±1min。</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22</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内部温度精确值：±3℃</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23</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消毒时间：20min-240min</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*24</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路径舱数量：不少于1个大循环路径舱</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25</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提供配套消毒液的官方使用证明及检测报告。</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26</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消毒完成后自动净化</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27</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机身结构自带4组固定式防尘锥</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28</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产品已申获技术专利。</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cstheme="minorEastAsia"/>
                <w:kern w:val="0"/>
                <w:sz w:val="24"/>
                <w:szCs w:val="24"/>
                <w:lang w:val="en-US" w:eastAsia="zh-CN"/>
              </w:rPr>
              <w:t>29</w:t>
            </w:r>
          </w:p>
        </w:tc>
        <w:tc>
          <w:tcPr>
            <w:tcW w:w="3587" w:type="pct"/>
          </w:tcPr>
          <w:p>
            <w:pP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产品通过欧盟CE认证</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二</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其他</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投标商应提供各种规格消耗品的医院购买价格清单；</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厂家承诺提供设备免费保修期（含消耗品、易损品、维修配件、人工服务等）≥ 3年。提供过保后年保价格</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操作手册、维修手册：提供操作手册、维修手册各一套</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培训：提供临床应用操作培训,并提供临床资料(培训ppt、考核试题)</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软件终身免费升级</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付款方式:验收合格后90工作日内付款，投标商开具单张发票限额必须大于投标单台设备价格</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3587"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投标商提供的设备必须在距投标当日10个月内生产</w:t>
            </w:r>
          </w:p>
        </w:tc>
        <w:tc>
          <w:tcPr>
            <w:tcW w:w="989"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22" w:type="pct"/>
          </w:tcPr>
          <w:p>
            <w:pPr>
              <w:jc w:val="center"/>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8</w:t>
            </w:r>
          </w:p>
        </w:tc>
        <w:tc>
          <w:tcPr>
            <w:tcW w:w="3587" w:type="pct"/>
          </w:tcPr>
          <w:p>
            <w:pPr>
              <w:jc w:val="center"/>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其它优惠条款</w:t>
            </w:r>
          </w:p>
        </w:tc>
        <w:tc>
          <w:tcPr>
            <w:tcW w:w="989" w:type="pct"/>
          </w:tcPr>
          <w:p>
            <w:pPr>
              <w:jc w:val="center"/>
              <w:rPr>
                <w:rFonts w:hint="eastAsia" w:asciiTheme="minorEastAsia" w:hAnsiTheme="minorEastAsia" w:eastAsiaTheme="minorEastAsia" w:cstheme="minorEastAsia"/>
                <w:b w:val="0"/>
                <w:bCs w:val="0"/>
                <w:kern w:val="0"/>
                <w:sz w:val="24"/>
                <w:szCs w:val="24"/>
              </w:rPr>
            </w:pPr>
          </w:p>
        </w:tc>
      </w:tr>
    </w:tbl>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kern w:val="2"/>
          <w:sz w:val="24"/>
          <w:szCs w:val="24"/>
          <w:lang w:val="en-US" w:eastAsia="zh-CN" w:bidi="ar-SA"/>
        </w:rPr>
      </w:pPr>
    </w:p>
    <w:p>
      <w:pPr>
        <w:jc w:val="both"/>
        <w:rPr>
          <w:rFonts w:hint="eastAsia" w:asciiTheme="minorEastAsia" w:hAnsiTheme="minorEastAsia" w:eastAsiaTheme="minorEastAsia" w:cstheme="minorEastAsia"/>
          <w:sz w:val="24"/>
          <w:szCs w:val="24"/>
        </w:rPr>
      </w:pPr>
    </w:p>
    <w:p>
      <w:pPr>
        <w:jc w:val="both"/>
        <w:rPr>
          <w:rFonts w:hint="eastAsia" w:ascii="仿宋" w:hAnsi="仿宋" w:eastAsia="仿宋" w:cs="仿宋"/>
          <w:sz w:val="27"/>
          <w:szCs w:val="27"/>
        </w:rPr>
      </w:pPr>
    </w:p>
    <w:p>
      <w:pPr>
        <w:jc w:val="both"/>
        <w:rPr>
          <w:rFonts w:hint="default" w:ascii="仿宋" w:hAnsi="仿宋" w:eastAsia="仿宋" w:cs="仿宋"/>
          <w:sz w:val="27"/>
          <w:szCs w:val="27"/>
          <w:lang w:val="en-US" w:eastAsia="zh-CN"/>
        </w:rPr>
      </w:pPr>
    </w:p>
    <w:p>
      <w:pPr>
        <w:numPr>
          <w:ilvl w:val="0"/>
          <w:numId w:val="0"/>
        </w:numPr>
        <w:jc w:val="both"/>
        <w:rPr>
          <w:rStyle w:val="11"/>
          <w:rFonts w:hint="eastAsia" w:ascii="黑体" w:hAnsi="宋体" w:eastAsia="黑体" w:cs="黑体"/>
          <w:b w:val="0"/>
          <w:bCs w:val="0"/>
          <w:sz w:val="27"/>
          <w:szCs w:val="27"/>
          <w:lang w:val="en-US" w:eastAsia="zh-CN"/>
        </w:rPr>
      </w:pPr>
      <w:r>
        <w:rPr>
          <w:rStyle w:val="11"/>
          <w:rFonts w:hint="eastAsia" w:ascii="黑体" w:hAnsi="宋体" w:eastAsia="黑体" w:cs="黑体"/>
          <w:b w:val="0"/>
          <w:bCs w:val="0"/>
          <w:sz w:val="27"/>
          <w:szCs w:val="27"/>
          <w:lang w:val="en-US" w:eastAsia="zh-CN"/>
        </w:rPr>
        <w:t>八、评分细则</w:t>
      </w:r>
    </w:p>
    <w:p>
      <w:pPr>
        <w:spacing w:line="360" w:lineRule="auto"/>
        <w:ind w:firstLine="457" w:firstLineChars="196"/>
        <w:rPr>
          <w:rStyle w:val="11"/>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8"/>
        <w:tblW w:w="903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6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39"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607"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对应于招标文件设备技术规格及配置的偏离度</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投标设备配套的合理性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投标设备技术指标的先进性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投标机型的档次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运行成本</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保修服务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投标产品总体质量性能</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市场占有率</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提供20</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投标人提供的超出招标文件的优惠条件</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环境标志产品、节能产品评审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spacing w:before="120" w:beforeLines="50" w:after="120" w:afterLines="50" w:line="360" w:lineRule="auto"/>
        <w:ind w:firstLine="464" w:firstLineChars="200"/>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numPr>
          <w:ilvl w:val="0"/>
          <w:numId w:val="0"/>
        </w:numPr>
        <w:jc w:val="left"/>
        <w:rPr>
          <w:rFonts w:hint="eastAsia"/>
          <w:b/>
          <w:bCs/>
          <w:sz w:val="24"/>
          <w:lang w:val="en-US" w:eastAsia="zh-CN"/>
        </w:rPr>
      </w:pPr>
    </w:p>
    <w:p>
      <w:pPr>
        <w:numPr>
          <w:ilvl w:val="0"/>
          <w:numId w:val="0"/>
        </w:numPr>
        <w:jc w:val="left"/>
        <w:rPr>
          <w:rFonts w:hint="default"/>
          <w:b/>
          <w:bCs/>
          <w:sz w:val="24"/>
          <w:lang w:val="en-US" w:eastAsia="zh-CN"/>
        </w:rPr>
      </w:pPr>
      <w:r>
        <w:rPr>
          <w:rFonts w:hint="eastAsia"/>
          <w:b/>
          <w:bCs/>
          <w:sz w:val="24"/>
          <w:lang w:val="en-US" w:eastAsia="zh-CN"/>
        </w:rPr>
        <w:t>九、我院正式合同版本</w:t>
      </w:r>
    </w:p>
    <w:p>
      <w:pPr>
        <w:pStyle w:val="7"/>
        <w:rPr>
          <w:sz w:val="44"/>
        </w:rPr>
      </w:pPr>
      <w:r>
        <w:rPr>
          <w:rFonts w:hint="eastAsia"/>
          <w:sz w:val="30"/>
          <w:szCs w:val="30"/>
        </w:rPr>
        <w:t>温州市中医院医疗设备采购合同</w:t>
      </w:r>
    </w:p>
    <w:p>
      <w:pPr>
        <w:rPr>
          <w:w w:val="95"/>
        </w:rPr>
      </w:pPr>
      <w:r>
        <w:rPr>
          <w:rFonts w:hint="eastAsia"/>
          <w:w w:val="95"/>
        </w:rPr>
        <w:t xml:space="preserve">                                          </w:t>
      </w:r>
      <w:r>
        <w:rPr>
          <w:w w:val="95"/>
        </w:rPr>
        <w:t>合同编号：</w:t>
      </w:r>
      <w:r>
        <w:rPr>
          <w:rFonts w:hint="eastAsia"/>
          <w:w w:val="95"/>
        </w:rPr>
        <w:t xml:space="preserve">          </w:t>
      </w:r>
    </w:p>
    <w:p>
      <w:pPr>
        <w:spacing w:before="107" w:line="220" w:lineRule="atLeast"/>
        <w:ind w:left="105"/>
        <w:rPr>
          <w:b/>
          <w:sz w:val="20"/>
        </w:rPr>
      </w:pPr>
      <w:r>
        <w:rPr>
          <w:rFonts w:hint="eastAsia"/>
          <w:b/>
          <w:sz w:val="20"/>
        </w:rPr>
        <w:t>甲方（采购单位）：温州市中医院</w:t>
      </w:r>
    </w:p>
    <w:p>
      <w:pPr>
        <w:spacing w:before="107" w:line="220" w:lineRule="atLeast"/>
        <w:ind w:left="105"/>
        <w:rPr>
          <w:b/>
          <w:sz w:val="20"/>
        </w:rPr>
      </w:pPr>
      <w:r>
        <w:rPr>
          <w:b/>
          <w:sz w:val="20"/>
        </w:rPr>
        <w:t>乙方（供应商）：</w:t>
      </w:r>
      <w:r>
        <w:rPr>
          <w:rFonts w:hint="eastAsia"/>
          <w:b/>
          <w:sz w:val="20"/>
        </w:rPr>
        <w:t xml:space="preserve"> </w:t>
      </w:r>
    </w:p>
    <w:p>
      <w:pPr>
        <w:pStyle w:val="3"/>
        <w:spacing w:before="106"/>
        <w:ind w:left="111" w:right="209" w:firstLine="500" w:firstLineChars="250"/>
        <w:rPr>
          <w:color w:val="000000" w:themeColor="text1"/>
          <w:sz w:val="20"/>
          <w14:textFill>
            <w14:solidFill>
              <w14:schemeClr w14:val="tx1"/>
            </w14:solidFill>
          </w14:textFill>
        </w:rPr>
      </w:pPr>
      <w:r>
        <w:rPr>
          <w:sz w:val="20"/>
        </w:rPr>
        <w:t>根据《中华人民共</w:t>
      </w:r>
      <w:r>
        <w:rPr>
          <w:color w:val="000000" w:themeColor="text1"/>
          <w:sz w:val="20"/>
          <w14:textFill>
            <w14:solidFill>
              <w14:schemeClr w14:val="tx1"/>
            </w14:solidFill>
          </w14:textFill>
        </w:rPr>
        <w:t>和国政府采购法》、《中华人民共和国</w:t>
      </w:r>
      <w:r>
        <w:rPr>
          <w:rFonts w:hint="eastAsia"/>
          <w:color w:val="000000" w:themeColor="text1"/>
          <w:sz w:val="20"/>
          <w14:textFill>
            <w14:solidFill>
              <w14:schemeClr w14:val="tx1"/>
            </w14:solidFill>
          </w14:textFill>
        </w:rPr>
        <w:t>民法典</w:t>
      </w:r>
      <w:r>
        <w:rPr>
          <w:color w:val="000000" w:themeColor="text1"/>
          <w:sz w:val="20"/>
          <w14:textFill>
            <w14:solidFill>
              <w14:schemeClr w14:val="tx1"/>
            </w14:solidFill>
          </w14:textFill>
        </w:rPr>
        <w:t>》等相关法律法规，以及</w:t>
      </w:r>
      <w:r>
        <w:rPr>
          <w:rFonts w:hint="eastAsia"/>
          <w:color w:val="000000" w:themeColor="text1"/>
          <w:sz w:val="20"/>
          <w:u w:val="single"/>
          <w:lang w:val="en-US"/>
          <w14:textFill>
            <w14:solidFill>
              <w14:schemeClr w14:val="tx1"/>
            </w14:solidFill>
          </w14:textFill>
        </w:rPr>
        <w:t>(招标</w:t>
      </w:r>
      <w:r>
        <w:rPr>
          <w:color w:val="000000" w:themeColor="text1"/>
          <w:sz w:val="20"/>
          <w:u w:val="single"/>
          <w:lang w:val="en-US"/>
          <w14:textFill>
            <w14:solidFill>
              <w14:schemeClr w14:val="tx1"/>
            </w14:solidFill>
          </w14:textFill>
        </w:rPr>
        <w:t>编号</w:t>
      </w:r>
      <w:r>
        <w:rPr>
          <w:rFonts w:hint="eastAsia"/>
          <w:color w:val="000000" w:themeColor="text1"/>
          <w:sz w:val="20"/>
          <w:u w:val="single"/>
          <w:lang w:val="en-US"/>
          <w14:textFill>
            <w14:solidFill>
              <w14:schemeClr w14:val="tx1"/>
            </w14:solidFill>
          </w14:textFill>
        </w:rPr>
        <w:t>)</w:t>
      </w:r>
      <w:r>
        <w:rPr>
          <w:color w:val="000000" w:themeColor="text1"/>
          <w:w w:val="95"/>
          <w:sz w:val="20"/>
          <w14:textFill>
            <w14:solidFill>
              <w14:schemeClr w14:val="tx1"/>
            </w14:solidFill>
          </w14:textFill>
        </w:rPr>
        <w:t>项</w:t>
      </w:r>
      <w:r>
        <w:rPr>
          <w:color w:val="000000" w:themeColor="text1"/>
          <w:sz w:val="20"/>
          <w14:textFill>
            <w14:solidFill>
              <w14:schemeClr w14:val="tx1"/>
            </w14:solidFill>
          </w14:textFill>
        </w:rPr>
        <w:t>目（以下简称</w:t>
      </w:r>
      <w:r>
        <w:rPr>
          <w:rFonts w:ascii="Verdana" w:hAnsi="Verdana" w:eastAsia="Verdana"/>
          <w:color w:val="000000" w:themeColor="text1"/>
          <w:sz w:val="20"/>
          <w14:textFill>
            <w14:solidFill>
              <w14:schemeClr w14:val="tx1"/>
            </w14:solidFill>
          </w14:textFill>
        </w:rPr>
        <w:t>“</w:t>
      </w:r>
      <w:r>
        <w:rPr>
          <w:color w:val="000000" w:themeColor="text1"/>
          <w:sz w:val="20"/>
          <w14:textFill>
            <w14:solidFill>
              <w14:schemeClr w14:val="tx1"/>
            </w14:solidFill>
          </w14:textFill>
        </w:rPr>
        <w:t>项目</w:t>
      </w:r>
      <w:r>
        <w:rPr>
          <w:rFonts w:ascii="Verdana" w:hAnsi="Verdana" w:eastAsia="Verdana"/>
          <w:color w:val="000000" w:themeColor="text1"/>
          <w:sz w:val="20"/>
          <w14:textFill>
            <w14:solidFill>
              <w14:schemeClr w14:val="tx1"/>
            </w14:solidFill>
          </w14:textFill>
        </w:rPr>
        <w:t>”</w:t>
      </w:r>
      <w:r>
        <w:rPr>
          <w:color w:val="000000" w:themeColor="text1"/>
          <w:sz w:val="20"/>
          <w14:textFill>
            <w14:solidFill>
              <w14:schemeClr w14:val="tx1"/>
            </w14:solidFill>
          </w14:textFill>
        </w:rPr>
        <w:t>）招标文件、中标供应商投标文件、项目采购协议，或入围承诺书，甲乙双方经协商一致，签署本合同。</w:t>
      </w:r>
    </w:p>
    <w:p>
      <w:pPr>
        <w:pStyle w:val="2"/>
        <w:numPr>
          <w:ilvl w:val="0"/>
          <w:numId w:val="3"/>
        </w:numPr>
        <w:spacing w:before="84" w:after="13"/>
        <w:rPr>
          <w:color w:val="000000" w:themeColor="text1"/>
          <w:sz w:val="20"/>
          <w14:textFill>
            <w14:solidFill>
              <w14:schemeClr w14:val="tx1"/>
            </w14:solidFill>
          </w14:textFill>
        </w:rPr>
      </w:pPr>
      <w:r>
        <w:rPr>
          <w:color w:val="000000" w:themeColor="text1"/>
          <w:sz w:val="20"/>
          <w14:textFill>
            <w14:solidFill>
              <w14:schemeClr w14:val="tx1"/>
            </w14:solidFill>
          </w14:textFill>
        </w:rPr>
        <w:t>货物内容及合同价格</w:t>
      </w:r>
    </w:p>
    <w:tbl>
      <w:tblPr>
        <w:tblStyle w:val="8"/>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15"/>
              <w:spacing w:before="116"/>
              <w:jc w:val="center"/>
              <w:rPr>
                <w:b/>
                <w:color w:val="000000" w:themeColor="text1"/>
                <w:sz w:val="21"/>
                <w14:textFill>
                  <w14:solidFill>
                    <w14:schemeClr w14:val="tx1"/>
                  </w14:solidFill>
                </w14:textFill>
              </w:rPr>
            </w:pPr>
            <w:r>
              <w:rPr>
                <w:b/>
                <w:color w:val="000000" w:themeColor="text1"/>
                <w:sz w:val="21"/>
                <w14:textFill>
                  <w14:solidFill>
                    <w14:schemeClr w14:val="tx1"/>
                  </w14:solidFill>
                </w14:textFill>
              </w:rPr>
              <w:t>货物名称</w:t>
            </w:r>
          </w:p>
        </w:tc>
        <w:tc>
          <w:tcPr>
            <w:tcW w:w="1418" w:type="dxa"/>
            <w:vAlign w:val="center"/>
          </w:tcPr>
          <w:p>
            <w:pPr>
              <w:pStyle w:val="15"/>
              <w:spacing w:before="116"/>
              <w:ind w:right="276"/>
              <w:jc w:val="center"/>
              <w:rPr>
                <w:b/>
                <w:color w:val="000000" w:themeColor="text1"/>
                <w:sz w:val="21"/>
                <w14:textFill>
                  <w14:solidFill>
                    <w14:schemeClr w14:val="tx1"/>
                  </w14:solidFill>
                </w14:textFill>
              </w:rPr>
            </w:pPr>
            <w:r>
              <w:rPr>
                <w:b/>
                <w:color w:val="000000" w:themeColor="text1"/>
                <w:sz w:val="21"/>
                <w14:textFill>
                  <w14:solidFill>
                    <w14:schemeClr w14:val="tx1"/>
                  </w14:solidFill>
                </w14:textFill>
              </w:rPr>
              <w:t>品牌</w:t>
            </w:r>
          </w:p>
        </w:tc>
        <w:tc>
          <w:tcPr>
            <w:tcW w:w="1559" w:type="dxa"/>
            <w:vAlign w:val="center"/>
          </w:tcPr>
          <w:p>
            <w:pPr>
              <w:pStyle w:val="15"/>
              <w:spacing w:before="116"/>
              <w:ind w:left="287" w:right="276"/>
              <w:jc w:val="center"/>
              <w:rPr>
                <w:b/>
                <w:color w:val="000000" w:themeColor="text1"/>
                <w:sz w:val="21"/>
                <w14:textFill>
                  <w14:solidFill>
                    <w14:schemeClr w14:val="tx1"/>
                  </w14:solidFill>
                </w14:textFill>
              </w:rPr>
            </w:pPr>
            <w:r>
              <w:rPr>
                <w:b/>
                <w:color w:val="000000" w:themeColor="text1"/>
                <w:sz w:val="21"/>
                <w14:textFill>
                  <w14:solidFill>
                    <w14:schemeClr w14:val="tx1"/>
                  </w14:solidFill>
                </w14:textFill>
              </w:rPr>
              <w:t>型号规格</w:t>
            </w:r>
          </w:p>
        </w:tc>
        <w:tc>
          <w:tcPr>
            <w:tcW w:w="2126" w:type="dxa"/>
            <w:vAlign w:val="center"/>
          </w:tcPr>
          <w:p>
            <w:pPr>
              <w:pStyle w:val="15"/>
              <w:spacing w:before="116"/>
              <w:ind w:left="71" w:right="61"/>
              <w:jc w:val="center"/>
              <w:rPr>
                <w:b/>
                <w:color w:val="000000" w:themeColor="text1"/>
                <w:sz w:val="20"/>
                <w14:textFill>
                  <w14:solidFill>
                    <w14:schemeClr w14:val="tx1"/>
                  </w14:solidFill>
                </w14:textFill>
              </w:rPr>
            </w:pPr>
            <w:r>
              <w:rPr>
                <w:b/>
                <w:color w:val="000000" w:themeColor="text1"/>
                <w:sz w:val="21"/>
                <w14:textFill>
                  <w14:solidFill>
                    <w14:schemeClr w14:val="tx1"/>
                  </w14:solidFill>
                </w14:textFill>
              </w:rPr>
              <w:t>配置要求</w:t>
            </w:r>
          </w:p>
        </w:tc>
        <w:tc>
          <w:tcPr>
            <w:tcW w:w="993" w:type="dxa"/>
            <w:vAlign w:val="center"/>
          </w:tcPr>
          <w:p>
            <w:pPr>
              <w:pStyle w:val="15"/>
              <w:spacing w:before="116"/>
              <w:ind w:left="71" w:right="61"/>
              <w:jc w:val="center"/>
              <w:rPr>
                <w:b/>
                <w:color w:val="000000" w:themeColor="text1"/>
                <w:sz w:val="20"/>
                <w14:textFill>
                  <w14:solidFill>
                    <w14:schemeClr w14:val="tx1"/>
                  </w14:solidFill>
                </w14:textFill>
              </w:rPr>
            </w:pPr>
            <w:r>
              <w:rPr>
                <w:b/>
                <w:color w:val="000000" w:themeColor="text1"/>
                <w:sz w:val="20"/>
                <w14:textFill>
                  <w14:solidFill>
                    <w14:schemeClr w14:val="tx1"/>
                  </w14:solidFill>
                </w14:textFill>
              </w:rPr>
              <w:t>数量</w:t>
            </w:r>
          </w:p>
        </w:tc>
        <w:tc>
          <w:tcPr>
            <w:tcW w:w="1134" w:type="dxa"/>
            <w:vAlign w:val="center"/>
          </w:tcPr>
          <w:p>
            <w:pPr>
              <w:pStyle w:val="15"/>
              <w:spacing w:before="116"/>
              <w:ind w:left="71" w:right="62"/>
              <w:jc w:val="center"/>
              <w:rPr>
                <w:b/>
                <w:color w:val="000000" w:themeColor="text1"/>
                <w:sz w:val="20"/>
                <w14:textFill>
                  <w14:solidFill>
                    <w14:schemeClr w14:val="tx1"/>
                  </w14:solidFill>
                </w14:textFill>
              </w:rPr>
            </w:pPr>
            <w:r>
              <w:rPr>
                <w:b/>
                <w:color w:val="000000" w:themeColor="text1"/>
                <w:sz w:val="20"/>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b/>
                <w:color w:val="000000" w:themeColor="text1"/>
                <w:lang w:val="en-US"/>
                <w14:textFill>
                  <w14:solidFill>
                    <w14:schemeClr w14:val="tx1"/>
                  </w14:solidFill>
                </w14:textFill>
              </w:rPr>
            </w:pPr>
          </w:p>
        </w:tc>
        <w:tc>
          <w:tcPr>
            <w:tcW w:w="1418" w:type="dxa"/>
            <w:vAlign w:val="center"/>
          </w:tcPr>
          <w:p>
            <w:pPr>
              <w:pStyle w:val="15"/>
              <w:jc w:val="center"/>
              <w:rPr>
                <w:b/>
                <w:color w:val="000000" w:themeColor="text1"/>
                <w:lang w:val="en-US"/>
                <w14:textFill>
                  <w14:solidFill>
                    <w14:schemeClr w14:val="tx1"/>
                  </w14:solidFill>
                </w14:textFill>
              </w:rPr>
            </w:pPr>
          </w:p>
        </w:tc>
        <w:tc>
          <w:tcPr>
            <w:tcW w:w="1559" w:type="dxa"/>
            <w:vAlign w:val="center"/>
          </w:tcPr>
          <w:p>
            <w:pPr>
              <w:pStyle w:val="15"/>
              <w:jc w:val="center"/>
              <w:rPr>
                <w:b/>
                <w:color w:val="000000" w:themeColor="text1"/>
                <w:lang w:val="en-US"/>
                <w14:textFill>
                  <w14:solidFill>
                    <w14:schemeClr w14:val="tx1"/>
                  </w14:solidFill>
                </w14:textFill>
              </w:rPr>
            </w:pPr>
          </w:p>
        </w:tc>
        <w:tc>
          <w:tcPr>
            <w:tcW w:w="2126" w:type="dxa"/>
            <w:vAlign w:val="center"/>
          </w:tcPr>
          <w:p>
            <w:pPr>
              <w:pStyle w:val="15"/>
              <w:jc w:val="center"/>
              <w:rPr>
                <w:rFonts w:ascii="Verdana"/>
                <w:color w:val="000000" w:themeColor="text1"/>
                <w:sz w:val="20"/>
                <w14:textFill>
                  <w14:solidFill>
                    <w14:schemeClr w14:val="tx1"/>
                  </w14:solidFill>
                </w14:textFill>
              </w:rPr>
            </w:pPr>
          </w:p>
        </w:tc>
        <w:tc>
          <w:tcPr>
            <w:tcW w:w="993" w:type="dxa"/>
            <w:vAlign w:val="center"/>
          </w:tcPr>
          <w:p>
            <w:pPr>
              <w:pStyle w:val="15"/>
              <w:jc w:val="center"/>
              <w:rPr>
                <w:rFonts w:ascii="Verdana"/>
                <w:color w:val="000000" w:themeColor="text1"/>
                <w:sz w:val="20"/>
                <w14:textFill>
                  <w14:solidFill>
                    <w14:schemeClr w14:val="tx1"/>
                  </w14:solidFill>
                </w14:textFill>
              </w:rPr>
            </w:pPr>
          </w:p>
        </w:tc>
        <w:tc>
          <w:tcPr>
            <w:tcW w:w="1134" w:type="dxa"/>
            <w:vAlign w:val="center"/>
          </w:tcPr>
          <w:p>
            <w:pPr>
              <w:pStyle w:val="15"/>
              <w:jc w:val="center"/>
              <w:rPr>
                <w:rFonts w:ascii="Verdana"/>
                <w:color w:val="000000" w:themeColor="text1"/>
                <w:sz w:val="20"/>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b/>
                <w:color w:val="000000" w:themeColor="text1"/>
                <w:lang w:val="en-US"/>
                <w14:textFill>
                  <w14:solidFill>
                    <w14:schemeClr w14:val="tx1"/>
                  </w14:solidFill>
                </w14:textFill>
              </w:rPr>
            </w:pPr>
          </w:p>
        </w:tc>
        <w:tc>
          <w:tcPr>
            <w:tcW w:w="1418" w:type="dxa"/>
            <w:vAlign w:val="center"/>
          </w:tcPr>
          <w:p>
            <w:pPr>
              <w:pStyle w:val="15"/>
              <w:jc w:val="center"/>
              <w:rPr>
                <w:b/>
                <w:color w:val="000000" w:themeColor="text1"/>
                <w:lang w:val="en-US"/>
                <w14:textFill>
                  <w14:solidFill>
                    <w14:schemeClr w14:val="tx1"/>
                  </w14:solidFill>
                </w14:textFill>
              </w:rPr>
            </w:pPr>
          </w:p>
        </w:tc>
        <w:tc>
          <w:tcPr>
            <w:tcW w:w="1559" w:type="dxa"/>
            <w:vAlign w:val="center"/>
          </w:tcPr>
          <w:p>
            <w:pPr>
              <w:pStyle w:val="15"/>
              <w:jc w:val="center"/>
              <w:rPr>
                <w:b/>
                <w:color w:val="000000" w:themeColor="text1"/>
                <w:lang w:val="en-US"/>
                <w14:textFill>
                  <w14:solidFill>
                    <w14:schemeClr w14:val="tx1"/>
                  </w14:solidFill>
                </w14:textFill>
              </w:rPr>
            </w:pPr>
          </w:p>
        </w:tc>
        <w:tc>
          <w:tcPr>
            <w:tcW w:w="2126" w:type="dxa"/>
            <w:vAlign w:val="center"/>
          </w:tcPr>
          <w:p>
            <w:pPr>
              <w:pStyle w:val="15"/>
              <w:jc w:val="center"/>
              <w:rPr>
                <w:rFonts w:ascii="Verdana"/>
                <w:color w:val="000000" w:themeColor="text1"/>
                <w:sz w:val="20"/>
                <w14:textFill>
                  <w14:solidFill>
                    <w14:schemeClr w14:val="tx1"/>
                  </w14:solidFill>
                </w14:textFill>
              </w:rPr>
            </w:pPr>
          </w:p>
        </w:tc>
        <w:tc>
          <w:tcPr>
            <w:tcW w:w="993" w:type="dxa"/>
            <w:vAlign w:val="center"/>
          </w:tcPr>
          <w:p>
            <w:pPr>
              <w:pStyle w:val="15"/>
              <w:jc w:val="center"/>
              <w:rPr>
                <w:rFonts w:ascii="Verdana"/>
                <w:color w:val="000000" w:themeColor="text1"/>
                <w:sz w:val="20"/>
                <w14:textFill>
                  <w14:solidFill>
                    <w14:schemeClr w14:val="tx1"/>
                  </w14:solidFill>
                </w14:textFill>
              </w:rPr>
            </w:pPr>
          </w:p>
        </w:tc>
        <w:tc>
          <w:tcPr>
            <w:tcW w:w="1134" w:type="dxa"/>
            <w:vAlign w:val="center"/>
          </w:tcPr>
          <w:p>
            <w:pPr>
              <w:pStyle w:val="15"/>
              <w:jc w:val="center"/>
              <w:rPr>
                <w:rFonts w:ascii="Verdana"/>
                <w:color w:val="000000" w:themeColor="text1"/>
                <w:sz w:val="20"/>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15"/>
              <w:spacing w:before="116"/>
              <w:ind w:firstLine="1440" w:firstLineChars="800"/>
              <w:rPr>
                <w:color w:val="000000" w:themeColor="text1"/>
                <w:sz w:val="20"/>
                <w14:textFill>
                  <w14:solidFill>
                    <w14:schemeClr w14:val="tx1"/>
                  </w14:solidFill>
                </w14:textFill>
              </w:rPr>
            </w:pPr>
            <w:r>
              <w:rPr>
                <w:color w:val="000000" w:themeColor="text1"/>
                <w:sz w:val="18"/>
                <w14:textFill>
                  <w14:solidFill>
                    <w14:schemeClr w14:val="tx1"/>
                  </w14:solidFill>
                </w14:textFill>
              </w:rPr>
              <w:t>合同总价大写</w:t>
            </w:r>
            <w:r>
              <w:rPr>
                <w:rFonts w:hint="eastAsia"/>
                <w:color w:val="000000" w:themeColor="text1"/>
                <w:sz w:val="18"/>
                <w:lang w:val="en-US"/>
                <w14:textFill>
                  <w14:solidFill>
                    <w14:schemeClr w14:val="tx1"/>
                  </w14:solidFill>
                </w14:textFill>
              </w:rPr>
              <w:t xml:space="preserve">: </w:t>
            </w:r>
            <w:r>
              <w:rPr>
                <w:rFonts w:hint="eastAsia"/>
                <w:color w:val="000000" w:themeColor="text1"/>
                <w:sz w:val="18"/>
                <w14:textFill>
                  <w14:solidFill>
                    <w14:schemeClr w14:val="tx1"/>
                  </w14:solidFill>
                </w14:textFill>
              </w:rPr>
              <w:t xml:space="preserve">元整                           </w:t>
            </w:r>
            <w:r>
              <w:rPr>
                <w:color w:val="000000" w:themeColor="text1"/>
                <w:sz w:val="18"/>
                <w14:textFill>
                  <w14:solidFill>
                    <w14:schemeClr w14:val="tx1"/>
                  </w14:solidFill>
                </w14:textFill>
              </w:rPr>
              <w:t>小写：￥</w:t>
            </w:r>
          </w:p>
        </w:tc>
      </w:tr>
    </w:tbl>
    <w:p>
      <w:pPr>
        <w:ind w:right="1636"/>
        <w:jc w:val="right"/>
        <w:rPr>
          <w:color w:val="000000" w:themeColor="text1"/>
          <w:sz w:val="24"/>
          <w14:textFill>
            <w14:solidFill>
              <w14:schemeClr w14:val="tx1"/>
            </w14:solidFill>
          </w14:textFill>
        </w:rPr>
      </w:pPr>
      <w:r>
        <w:rPr>
          <w:color w:val="000000" w:themeColor="text1"/>
          <w:sz w:val="20"/>
          <w14:textFill>
            <w14:solidFill>
              <w14:schemeClr w14:val="tx1"/>
            </w14:solidFill>
          </w14:textFill>
        </w:rPr>
        <w:t>金额单位：元</w:t>
      </w:r>
    </w:p>
    <w:p>
      <w:pPr>
        <w:pStyle w:val="3"/>
        <w:spacing w:line="0" w:lineRule="atLeast"/>
        <w:ind w:right="210"/>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注：1、商品型号、数量、配置要求及使用单位地址等详见附件清单</w:t>
      </w:r>
    </w:p>
    <w:p>
      <w:pPr>
        <w:pStyle w:val="3"/>
        <w:spacing w:line="0" w:lineRule="atLeast"/>
        <w:ind w:left="105" w:right="210"/>
        <w:rPr>
          <w:color w:val="000000" w:themeColor="text1"/>
          <w:sz w:val="20"/>
          <w14:textFill>
            <w14:solidFill>
              <w14:schemeClr w14:val="tx1"/>
            </w14:solidFill>
          </w14:textFill>
        </w:rPr>
      </w:pPr>
      <w:r>
        <w:rPr>
          <w:rFonts w:hint="eastAsia"/>
          <w:color w:val="000000" w:themeColor="text1"/>
          <w:sz w:val="18"/>
          <w14:textFill>
            <w14:solidFill>
              <w14:schemeClr w14:val="tx1"/>
            </w14:solidFill>
          </w14:textFill>
        </w:rPr>
        <w:t xml:space="preserve">   2、以上合同总价包含货物到达用户并能正常使用所需的一切费用，包括但不限于包装费、运输费、装卸费、保险费、安装调试费、技术服务费、培训费以及保修费、税费等。</w:t>
      </w:r>
    </w:p>
    <w:p>
      <w:pPr>
        <w:pStyle w:val="2"/>
        <w:spacing w:before="85"/>
        <w:rPr>
          <w:color w:val="000000" w:themeColor="text1"/>
          <w:sz w:val="20"/>
          <w14:textFill>
            <w14:solidFill>
              <w14:schemeClr w14:val="tx1"/>
            </w14:solidFill>
          </w14:textFill>
        </w:rPr>
      </w:pPr>
      <w:r>
        <w:rPr>
          <w:color w:val="000000" w:themeColor="text1"/>
          <w:sz w:val="20"/>
          <w14:textFill>
            <w14:solidFill>
              <w14:schemeClr w14:val="tx1"/>
            </w14:solidFill>
          </w14:textFill>
        </w:rPr>
        <w:t>二、技术资料</w:t>
      </w:r>
    </w:p>
    <w:p>
      <w:pPr>
        <w:pStyle w:val="16"/>
        <w:numPr>
          <w:ilvl w:val="0"/>
          <w:numId w:val="4"/>
        </w:numPr>
        <w:tabs>
          <w:tab w:val="left" w:pos="522"/>
        </w:tabs>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乙方应按招标文件规定的时间向甲方提供使用货物的有关技术资料。</w:t>
      </w:r>
    </w:p>
    <w:p>
      <w:pPr>
        <w:pStyle w:val="16"/>
        <w:numPr>
          <w:ilvl w:val="0"/>
          <w:numId w:val="4"/>
        </w:numPr>
        <w:tabs>
          <w:tab w:val="left" w:pos="522"/>
        </w:tabs>
        <w:ind w:left="111" w:right="101" w:firstLine="240"/>
        <w:rPr>
          <w:color w:val="000000" w:themeColor="text1"/>
          <w:sz w:val="20"/>
          <w14:textFill>
            <w14:solidFill>
              <w14:schemeClr w14:val="tx1"/>
            </w14:solidFill>
          </w14:textFill>
        </w:rPr>
      </w:pPr>
      <w:r>
        <w:rPr>
          <w:color w:val="000000" w:themeColor="text1"/>
          <w:sz w:val="20"/>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
        <w:spacing w:before="86"/>
        <w:rPr>
          <w:color w:val="000000" w:themeColor="text1"/>
          <w:sz w:val="20"/>
          <w14:textFill>
            <w14:solidFill>
              <w14:schemeClr w14:val="tx1"/>
            </w14:solidFill>
          </w14:textFill>
        </w:rPr>
      </w:pPr>
      <w:r>
        <w:rPr>
          <w:color w:val="000000" w:themeColor="text1"/>
          <w:sz w:val="20"/>
          <w14:textFill>
            <w14:solidFill>
              <w14:schemeClr w14:val="tx1"/>
            </w14:solidFill>
          </w14:textFill>
        </w:rPr>
        <w:t>三、知识产权</w:t>
      </w:r>
    </w:p>
    <w:p>
      <w:pPr>
        <w:pStyle w:val="3"/>
        <w:spacing w:before="22"/>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乙方应保证所提供的货物或其任何一部分均不会侵犯任何第三方的知识产权。</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四、产权担保</w:t>
      </w:r>
    </w:p>
    <w:p>
      <w:pPr>
        <w:pStyle w:val="3"/>
        <w:spacing w:before="23"/>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乙方保证所交付的货物的所有权完全属于乙方且无任何抵押、查封等产权瑕疵。</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五、转包或分包</w:t>
      </w:r>
    </w:p>
    <w:p>
      <w:pPr>
        <w:pStyle w:val="3"/>
        <w:spacing w:before="22"/>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本合同范围的货物，应由乙方直接供应，不得转让他人供应，否则，甲方有权解除合同，没收质量保证金并追究乙方的违约责任。</w:t>
      </w:r>
    </w:p>
    <w:p>
      <w:pPr>
        <w:pStyle w:val="2"/>
        <w:spacing w:before="107"/>
        <w:rPr>
          <w:color w:val="000000" w:themeColor="text1"/>
          <w:sz w:val="20"/>
          <w14:textFill>
            <w14:solidFill>
              <w14:schemeClr w14:val="tx1"/>
            </w14:solidFill>
          </w14:textFill>
        </w:rPr>
      </w:pPr>
      <w:r>
        <w:rPr>
          <w:color w:val="000000" w:themeColor="text1"/>
          <w:sz w:val="20"/>
          <w14:textFill>
            <w14:solidFill>
              <w14:schemeClr w14:val="tx1"/>
            </w14:solidFill>
          </w14:textFill>
        </w:rPr>
        <w:t>六、质保期和质保金</w:t>
      </w:r>
    </w:p>
    <w:p>
      <w:pPr>
        <w:pStyle w:val="16"/>
        <w:numPr>
          <w:ilvl w:val="0"/>
          <w:numId w:val="5"/>
        </w:numPr>
        <w:tabs>
          <w:tab w:val="left" w:pos="522"/>
        </w:tabs>
        <w:ind w:hanging="170"/>
        <w:rPr>
          <w:color w:val="000000" w:themeColor="text1"/>
          <w:sz w:val="20"/>
          <w14:textFill>
            <w14:solidFill>
              <w14:schemeClr w14:val="tx1"/>
            </w14:solidFill>
          </w14:textFill>
        </w:rPr>
      </w:pPr>
      <w:r>
        <w:rPr>
          <w:color w:val="000000" w:themeColor="text1"/>
          <w:spacing w:val="-6"/>
          <w:sz w:val="20"/>
          <w14:textFill>
            <w14:solidFill>
              <w14:schemeClr w14:val="tx1"/>
            </w14:solidFill>
          </w14:textFill>
        </w:rPr>
        <w:t>质保期为</w:t>
      </w:r>
      <w:r>
        <w:rPr>
          <w:rFonts w:hint="eastAsia"/>
          <w:color w:val="000000" w:themeColor="text1"/>
          <w:spacing w:val="-6"/>
          <w:sz w:val="20"/>
          <w:u w:val="single"/>
          <w:lang w:val="en-US"/>
          <w14:textFill>
            <w14:solidFill>
              <w14:schemeClr w14:val="tx1"/>
            </w14:solidFill>
          </w14:textFill>
        </w:rPr>
        <w:t xml:space="preserve">    </w:t>
      </w:r>
      <w:r>
        <w:rPr>
          <w:rFonts w:hint="eastAsia"/>
          <w:color w:val="000000" w:themeColor="text1"/>
          <w:spacing w:val="-6"/>
          <w:sz w:val="20"/>
          <w:lang w:val="en-US"/>
          <w14:textFill>
            <w14:solidFill>
              <w14:schemeClr w14:val="tx1"/>
            </w14:solidFill>
          </w14:textFill>
        </w:rPr>
        <w:t>年</w:t>
      </w:r>
      <w:r>
        <w:rPr>
          <w:color w:val="000000" w:themeColor="text1"/>
          <w:sz w:val="20"/>
          <w14:textFill>
            <w14:solidFill>
              <w14:schemeClr w14:val="tx1"/>
            </w14:solidFill>
          </w14:textFill>
        </w:rPr>
        <w:t>。（自交货验收合格之日起计）</w:t>
      </w:r>
    </w:p>
    <w:p>
      <w:pPr>
        <w:pStyle w:val="16"/>
        <w:numPr>
          <w:ilvl w:val="0"/>
          <w:numId w:val="5"/>
        </w:numPr>
        <w:tabs>
          <w:tab w:val="left" w:pos="522"/>
          <w:tab w:val="left" w:pos="1347"/>
        </w:tabs>
        <w:spacing w:before="70"/>
        <w:ind w:hanging="170"/>
        <w:rPr>
          <w:rFonts w:ascii="Verdana" w:eastAsia="Verdana"/>
          <w:color w:val="000000" w:themeColor="text1"/>
          <w:sz w:val="20"/>
          <w14:textFill>
            <w14:solidFill>
              <w14:schemeClr w14:val="tx1"/>
            </w14:solidFill>
          </w14:textFill>
        </w:rPr>
      </w:pPr>
      <w:r>
        <w:rPr>
          <w:color w:val="000000" w:themeColor="text1"/>
          <w:sz w:val="20"/>
          <w14:textFill>
            <w14:solidFill>
              <w14:schemeClr w14:val="tx1"/>
            </w14:solidFill>
          </w14:textFill>
        </w:rPr>
        <w:t>质保金</w:t>
      </w:r>
      <w:r>
        <w:rPr>
          <w:color w:val="000000" w:themeColor="text1"/>
          <w:sz w:val="20"/>
          <w:u w:val="single" w:color="4068E0"/>
          <w14:textFill>
            <w14:solidFill>
              <w14:schemeClr w14:val="tx1"/>
            </w14:solidFill>
          </w14:textFill>
        </w:rPr>
        <w:t xml:space="preserve"> </w:t>
      </w:r>
      <w:r>
        <w:rPr>
          <w:rFonts w:hint="eastAsia"/>
          <w:color w:val="000000" w:themeColor="text1"/>
          <w:sz w:val="20"/>
          <w:u w:val="single" w:color="4068E0"/>
          <w:lang w:val="en-US"/>
          <w14:textFill>
            <w14:solidFill>
              <w14:schemeClr w14:val="tx1"/>
            </w14:solidFill>
          </w14:textFill>
        </w:rPr>
        <w:t>0</w:t>
      </w:r>
      <w:r>
        <w:rPr>
          <w:color w:val="000000" w:themeColor="text1"/>
          <w:sz w:val="20"/>
          <w:u w:val="single" w:color="4068E0"/>
          <w14:textFill>
            <w14:solidFill>
              <w14:schemeClr w14:val="tx1"/>
            </w14:solidFill>
          </w14:textFill>
        </w:rPr>
        <w:tab/>
      </w:r>
      <w:r>
        <w:rPr>
          <w:color w:val="000000" w:themeColor="text1"/>
          <w:sz w:val="20"/>
          <w14:textFill>
            <w14:solidFill>
              <w14:schemeClr w14:val="tx1"/>
            </w14:solidFill>
          </w14:textFill>
        </w:rPr>
        <w:t>元。</w:t>
      </w:r>
      <w:r>
        <w:rPr>
          <w:rFonts w:ascii="Verdana" w:eastAsia="Verdana"/>
          <w:color w:val="000000" w:themeColor="text1"/>
          <w:spacing w:val="-5"/>
          <w:sz w:val="20"/>
          <w14:textFill>
            <w14:solidFill>
              <w14:schemeClr w14:val="tx1"/>
            </w14:solidFill>
          </w14:textFill>
        </w:rPr>
        <w:t>[</w:t>
      </w:r>
      <w:r>
        <w:rPr>
          <w:color w:val="000000" w:themeColor="text1"/>
          <w:sz w:val="20"/>
          <w14:textFill>
            <w14:solidFill>
              <w14:schemeClr w14:val="tx1"/>
            </w14:solidFill>
          </w14:textFill>
        </w:rPr>
        <w:t>质量保证金</w:t>
      </w:r>
      <w:r>
        <w:rPr>
          <w:rFonts w:hint="eastAsia"/>
          <w:color w:val="000000" w:themeColor="text1"/>
          <w:sz w:val="20"/>
          <w14:textFill>
            <w14:solidFill>
              <w14:schemeClr w14:val="tx1"/>
            </w14:solidFill>
          </w14:textFill>
        </w:rPr>
        <w:t>于合同签订后</w:t>
      </w:r>
      <w:r>
        <w:rPr>
          <w:rFonts w:hint="eastAsia"/>
          <w:color w:val="000000" w:themeColor="text1"/>
          <w:sz w:val="20"/>
          <w:lang w:val="en-US"/>
          <w14:textFill>
            <w14:solidFill>
              <w14:schemeClr w14:val="tx1"/>
            </w14:solidFill>
          </w14:textFill>
        </w:rPr>
        <w:t xml:space="preserve">    日内</w:t>
      </w:r>
      <w:r>
        <w:rPr>
          <w:color w:val="000000" w:themeColor="text1"/>
          <w:sz w:val="20"/>
          <w14:textFill>
            <w14:solidFill>
              <w14:schemeClr w14:val="tx1"/>
            </w14:solidFill>
          </w14:textFill>
        </w:rPr>
        <w:t>交给采购单位，在合同约定交货验收合格满（</w:t>
      </w:r>
      <w:r>
        <w:rPr>
          <w:color w:val="000000" w:themeColor="text1"/>
          <w:spacing w:val="-28"/>
          <w:sz w:val="20"/>
          <w14:textFill>
            <w14:solidFill>
              <w14:schemeClr w14:val="tx1"/>
            </w14:solidFill>
          </w14:textFill>
        </w:rPr>
        <w:t xml:space="preserve"> </w:t>
      </w:r>
      <w:r>
        <w:rPr>
          <w:rFonts w:hint="eastAsia"/>
          <w:color w:val="000000" w:themeColor="text1"/>
          <w:spacing w:val="-28"/>
          <w:sz w:val="20"/>
          <w:lang w:val="en-US"/>
          <w14:textFill>
            <w14:solidFill>
              <w14:schemeClr w14:val="tx1"/>
            </w14:solidFill>
          </w14:textFill>
        </w:rPr>
        <w:t xml:space="preserve"> </w:t>
      </w:r>
      <w:r>
        <w:rPr>
          <w:color w:val="000000" w:themeColor="text1"/>
          <w:sz w:val="20"/>
          <w14:textFill>
            <w14:solidFill>
              <w14:schemeClr w14:val="tx1"/>
            </w14:solidFill>
          </w14:textFill>
        </w:rPr>
        <w:t>）个月之日起</w:t>
      </w:r>
      <w:r>
        <w:rPr>
          <w:rFonts w:hint="eastAsia"/>
          <w:color w:val="000000" w:themeColor="text1"/>
          <w:spacing w:val="-28"/>
          <w:sz w:val="20"/>
          <w:lang w:val="en-US"/>
          <w14:textFill>
            <w14:solidFill>
              <w14:schemeClr w14:val="tx1"/>
            </w14:solidFill>
          </w14:textFill>
        </w:rPr>
        <w:t xml:space="preserve"> 5 </w:t>
      </w:r>
      <w:r>
        <w:rPr>
          <w:color w:val="000000" w:themeColor="text1"/>
          <w:sz w:val="20"/>
          <w14:textFill>
            <w14:solidFill>
              <w14:schemeClr w14:val="tx1"/>
            </w14:solidFill>
          </w14:textFill>
        </w:rPr>
        <w:t>个工作日内无息退还</w:t>
      </w:r>
      <w:r>
        <w:rPr>
          <w:rFonts w:ascii="Verdana" w:eastAsia="Verdana"/>
          <w:color w:val="000000" w:themeColor="text1"/>
          <w:sz w:val="20"/>
          <w14:textFill>
            <w14:solidFill>
              <w14:schemeClr w14:val="tx1"/>
            </w14:solidFill>
          </w14:textFill>
        </w:rPr>
        <w:t>]</w:t>
      </w:r>
    </w:p>
    <w:p>
      <w:pPr>
        <w:pStyle w:val="2"/>
        <w:spacing w:before="0"/>
        <w:rPr>
          <w:color w:val="000000" w:themeColor="text1"/>
          <w:sz w:val="20"/>
          <w14:textFill>
            <w14:solidFill>
              <w14:schemeClr w14:val="tx1"/>
            </w14:solidFill>
          </w14:textFill>
        </w:rPr>
      </w:pPr>
      <w:r>
        <w:rPr>
          <w:color w:val="000000" w:themeColor="text1"/>
          <w:sz w:val="20"/>
          <w14:textFill>
            <w14:solidFill>
              <w14:schemeClr w14:val="tx1"/>
            </w14:solidFill>
          </w14:textFill>
        </w:rPr>
        <w:t>七、交货期、交货方式及交货地点</w:t>
      </w:r>
    </w:p>
    <w:p>
      <w:pPr>
        <w:pStyle w:val="16"/>
        <w:numPr>
          <w:ilvl w:val="0"/>
          <w:numId w:val="6"/>
        </w:numPr>
        <w:tabs>
          <w:tab w:val="left" w:pos="522"/>
        </w:tabs>
        <w:spacing w:before="22"/>
        <w:ind w:hanging="170"/>
        <w:rPr>
          <w:color w:val="000000" w:themeColor="text1"/>
          <w:sz w:val="20"/>
          <w14:textFill>
            <w14:solidFill>
              <w14:schemeClr w14:val="tx1"/>
            </w14:solidFill>
          </w14:textFill>
        </w:rPr>
      </w:pPr>
      <w:r>
        <w:rPr>
          <w:color w:val="000000" w:themeColor="text1"/>
          <w:spacing w:val="-3"/>
          <w:sz w:val="20"/>
          <w14:textFill>
            <w14:solidFill>
              <w14:schemeClr w14:val="tx1"/>
            </w14:solidFill>
          </w14:textFill>
        </w:rPr>
        <w:t>交货期：合同签订后</w:t>
      </w:r>
      <w:r>
        <w:rPr>
          <w:rFonts w:hint="eastAsia"/>
          <w:color w:val="000000" w:themeColor="text1"/>
          <w:spacing w:val="-3"/>
          <w:sz w:val="20"/>
          <w:lang w:val="en-US"/>
          <w14:textFill>
            <w14:solidFill>
              <w14:schemeClr w14:val="tx1"/>
            </w14:solidFill>
          </w14:textFill>
        </w:rPr>
        <w:t xml:space="preserve"> 60 </w:t>
      </w:r>
      <w:r>
        <w:rPr>
          <w:color w:val="000000" w:themeColor="text1"/>
          <w:sz w:val="20"/>
          <w14:textFill>
            <w14:solidFill>
              <w14:schemeClr w14:val="tx1"/>
            </w14:solidFill>
          </w14:textFill>
        </w:rPr>
        <w:t>个工作日</w:t>
      </w:r>
    </w:p>
    <w:p>
      <w:pPr>
        <w:pStyle w:val="16"/>
        <w:numPr>
          <w:ilvl w:val="0"/>
          <w:numId w:val="6"/>
        </w:numPr>
        <w:tabs>
          <w:tab w:val="left" w:pos="522"/>
        </w:tabs>
        <w:ind w:hanging="170"/>
        <w:rPr>
          <w:color w:val="000000" w:themeColor="text1"/>
          <w:sz w:val="20"/>
          <w14:textFill>
            <w14:solidFill>
              <w14:schemeClr w14:val="tx1"/>
            </w14:solidFill>
          </w14:textFill>
        </w:rPr>
      </w:pPr>
      <w:r>
        <w:rPr>
          <w:color w:val="000000" w:themeColor="text1"/>
          <w:spacing w:val="-5"/>
          <w:sz w:val="20"/>
          <w14:textFill>
            <w14:solidFill>
              <w14:schemeClr w14:val="tx1"/>
            </w14:solidFill>
          </w14:textFill>
        </w:rPr>
        <w:t xml:space="preserve">交货方式： </w:t>
      </w:r>
      <w:r>
        <w:rPr>
          <w:rFonts w:hint="eastAsia"/>
          <w:color w:val="000000" w:themeColor="text1"/>
          <w:spacing w:val="-5"/>
          <w:sz w:val="20"/>
          <w14:textFill>
            <w14:solidFill>
              <w14:schemeClr w14:val="tx1"/>
            </w14:solidFill>
          </w14:textFill>
        </w:rPr>
        <w:t>按甲方指定地点</w:t>
      </w:r>
      <w:r>
        <w:rPr>
          <w:color w:val="000000" w:themeColor="text1"/>
          <w:sz w:val="20"/>
          <w14:textFill>
            <w14:solidFill>
              <w14:schemeClr w14:val="tx1"/>
            </w14:solidFill>
          </w14:textFill>
        </w:rPr>
        <w:t>送货上门</w:t>
      </w:r>
    </w:p>
    <w:p>
      <w:pPr>
        <w:pStyle w:val="16"/>
        <w:numPr>
          <w:ilvl w:val="0"/>
          <w:numId w:val="6"/>
        </w:numPr>
        <w:ind w:hanging="170"/>
        <w:rPr>
          <w:color w:val="000000" w:themeColor="text1"/>
          <w:sz w:val="20"/>
          <w14:textFill>
            <w14:solidFill>
              <w14:schemeClr w14:val="tx1"/>
            </w14:solidFill>
          </w14:textFill>
        </w:rPr>
      </w:pPr>
      <w:r>
        <w:rPr>
          <w:color w:val="000000" w:themeColor="text1"/>
          <w:spacing w:val="-11"/>
          <w:sz w:val="20"/>
          <w14:textFill>
            <w14:solidFill>
              <w14:schemeClr w14:val="tx1"/>
            </w14:solidFill>
          </w14:textFill>
        </w:rPr>
        <w:t xml:space="preserve">交货地点： </w:t>
      </w:r>
      <w:r>
        <w:rPr>
          <w:color w:val="000000" w:themeColor="text1"/>
          <w:sz w:val="20"/>
          <w14:textFill>
            <w14:solidFill>
              <w14:schemeClr w14:val="tx1"/>
            </w14:solidFill>
          </w14:textFill>
        </w:rPr>
        <w:t>浙江省温州市鹿城</w:t>
      </w:r>
      <w:r>
        <w:rPr>
          <w:rFonts w:hint="eastAsia"/>
          <w:color w:val="000000" w:themeColor="text1"/>
          <w:sz w:val="20"/>
          <w14:textFill>
            <w14:solidFill>
              <w14:schemeClr w14:val="tx1"/>
            </w14:solidFill>
          </w14:textFill>
        </w:rPr>
        <w:t>区南汇街道六虹桥路蛟尾路9号</w:t>
      </w:r>
    </w:p>
    <w:p>
      <w:pPr>
        <w:tabs>
          <w:tab w:val="left" w:pos="522"/>
        </w:tabs>
        <w:ind w:left="105" w:right="5480"/>
        <w:rPr>
          <w:b/>
          <w:bCs/>
          <w:color w:val="000000" w:themeColor="text1"/>
          <w:sz w:val="20"/>
          <w:szCs w:val="16"/>
          <w14:textFill>
            <w14:solidFill>
              <w14:schemeClr w14:val="tx1"/>
            </w14:solidFill>
          </w14:textFill>
        </w:rPr>
      </w:pPr>
      <w:r>
        <w:rPr>
          <w:b/>
          <w:color w:val="000000" w:themeColor="text1"/>
          <w:spacing w:val="10"/>
          <w:sz w:val="20"/>
          <w14:textFill>
            <w14:solidFill>
              <w14:schemeClr w14:val="tx1"/>
            </w14:solidFill>
          </w14:textFill>
        </w:rPr>
        <w:t>八、</w:t>
      </w:r>
      <w:r>
        <w:rPr>
          <w:rFonts w:hint="eastAsia"/>
          <w:b/>
          <w:bCs/>
          <w:color w:val="000000" w:themeColor="text1"/>
          <w:sz w:val="20"/>
          <w:szCs w:val="16"/>
          <w14:textFill>
            <w14:solidFill>
              <w14:schemeClr w14:val="tx1"/>
            </w14:solidFill>
          </w14:textFill>
        </w:rPr>
        <w:t>货款支付</w:t>
      </w:r>
    </w:p>
    <w:p>
      <w:pPr>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甲方按以下第1种方式支付乙方合同价款。</w:t>
      </w:r>
    </w:p>
    <w:p>
      <w:pPr>
        <w:pStyle w:val="3"/>
        <w:spacing w:before="21"/>
        <w:ind w:left="351"/>
        <w:rPr>
          <w:color w:val="000000" w:themeColor="text1"/>
          <w:sz w:val="20"/>
          <w:szCs w:val="16"/>
          <w14:textFill>
            <w14:solidFill>
              <w14:schemeClr w14:val="tx1"/>
            </w14:solidFill>
          </w14:textFill>
        </w:rPr>
      </w:pPr>
      <w:r>
        <w:rPr>
          <w:rFonts w:ascii="Verdana" w:eastAsia="Verdana"/>
          <w:color w:val="000000" w:themeColor="text1"/>
          <w:sz w:val="20"/>
          <w:szCs w:val="16"/>
          <w14:textFill>
            <w14:solidFill>
              <w14:schemeClr w14:val="tx1"/>
            </w14:solidFill>
          </w14:textFill>
        </w:rPr>
        <w:t>1</w:t>
      </w:r>
      <w:r>
        <w:rPr>
          <w:color w:val="000000" w:themeColor="text1"/>
          <w:sz w:val="20"/>
          <w:szCs w:val="16"/>
          <w14:textFill>
            <w14:solidFill>
              <w14:schemeClr w14:val="tx1"/>
            </w14:solidFill>
          </w14:textFill>
        </w:rPr>
        <w:t>、一次性支付：</w:t>
      </w:r>
    </w:p>
    <w:p>
      <w:pPr>
        <w:pStyle w:val="3"/>
        <w:tabs>
          <w:tab w:val="left" w:pos="4877"/>
        </w:tabs>
        <w:spacing w:before="71"/>
        <w:ind w:left="351"/>
        <w:rPr>
          <w:color w:val="000000" w:themeColor="text1"/>
          <w:sz w:val="20"/>
          <w:szCs w:val="16"/>
          <w14:textFill>
            <w14:solidFill>
              <w14:schemeClr w14:val="tx1"/>
            </w14:solidFill>
          </w14:textFill>
        </w:rPr>
      </w:pPr>
      <w:r>
        <w:rPr>
          <w:color w:val="000000" w:themeColor="text1"/>
          <w:sz w:val="20"/>
          <w:szCs w:val="16"/>
          <w14:textFill>
            <w14:solidFill>
              <w14:schemeClr w14:val="tx1"/>
            </w14:solidFill>
          </w14:textFill>
        </w:rPr>
        <w:t>本合同项下的全部货物安装调试完毕并经最终验收合格后</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90</w:t>
      </w:r>
      <w:r>
        <w:rPr>
          <w:color w:val="000000" w:themeColor="text1"/>
          <w:sz w:val="20"/>
          <w:szCs w:val="16"/>
          <w:u w:val="single" w:color="4068E0"/>
          <w14:textFill>
            <w14:solidFill>
              <w14:schemeClr w14:val="tx1"/>
            </w14:solidFill>
          </w14:textFill>
        </w:rPr>
        <w:tab/>
      </w:r>
      <w:r>
        <w:rPr>
          <w:color w:val="000000" w:themeColor="text1"/>
          <w:sz w:val="20"/>
          <w:szCs w:val="16"/>
          <w14:textFill>
            <w14:solidFill>
              <w14:schemeClr w14:val="tx1"/>
            </w14:solidFill>
          </w14:textFill>
        </w:rPr>
        <w:t>个工作日内，甲方向乙方支付全部合同价款。</w:t>
      </w:r>
    </w:p>
    <w:p>
      <w:pPr>
        <w:pStyle w:val="3"/>
        <w:spacing w:before="69"/>
        <w:ind w:left="351"/>
        <w:rPr>
          <w:color w:val="000000" w:themeColor="text1"/>
          <w:sz w:val="20"/>
          <w:szCs w:val="16"/>
          <w14:textFill>
            <w14:solidFill>
              <w14:schemeClr w14:val="tx1"/>
            </w14:solidFill>
          </w14:textFill>
        </w:rPr>
      </w:pPr>
      <w:r>
        <w:rPr>
          <w:rFonts w:ascii="Verdana" w:eastAsia="Verdana"/>
          <w:color w:val="000000" w:themeColor="text1"/>
          <w:sz w:val="20"/>
          <w:szCs w:val="16"/>
          <w14:textFill>
            <w14:solidFill>
              <w14:schemeClr w14:val="tx1"/>
            </w14:solidFill>
          </w14:textFill>
        </w:rPr>
        <w:t>2</w:t>
      </w:r>
      <w:r>
        <w:rPr>
          <w:color w:val="000000" w:themeColor="text1"/>
          <w:sz w:val="20"/>
          <w:szCs w:val="16"/>
          <w14:textFill>
            <w14:solidFill>
              <w14:schemeClr w14:val="tx1"/>
            </w14:solidFill>
          </w14:textFill>
        </w:rPr>
        <w:t>、分期支付：</w:t>
      </w:r>
    </w:p>
    <w:p>
      <w:pPr>
        <w:pStyle w:val="16"/>
        <w:numPr>
          <w:ilvl w:val="0"/>
          <w:numId w:val="7"/>
        </w:numPr>
        <w:tabs>
          <w:tab w:val="left" w:pos="797"/>
          <w:tab w:val="left" w:pos="2800"/>
          <w:tab w:val="left" w:pos="5814"/>
          <w:tab w:val="left" w:pos="7603"/>
          <w:tab w:val="left" w:pos="8599"/>
        </w:tabs>
        <w:spacing w:before="69"/>
        <w:ind w:hanging="445"/>
        <w:rPr>
          <w:color w:val="000000" w:themeColor="text1"/>
          <w:sz w:val="20"/>
          <w:szCs w:val="16"/>
          <w14:textFill>
            <w14:solidFill>
              <w14:schemeClr w14:val="tx1"/>
            </w14:solidFill>
          </w14:textFill>
        </w:rPr>
      </w:pPr>
      <w:r>
        <w:rPr>
          <w:color w:val="000000" w:themeColor="text1"/>
          <w:sz w:val="20"/>
          <w:szCs w:val="16"/>
          <w14:textFill>
            <w14:solidFill>
              <w14:schemeClr w14:val="tx1"/>
            </w14:solidFill>
          </w14:textFill>
        </w:rPr>
        <w:t>甲方应于本合同生效后</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个工作日内向乙方支付合同总价款的</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rFonts w:ascii="Verdana" w:hAnsi="Verdana" w:eastAsia="Verdana"/>
          <w:color w:val="000000" w:themeColor="text1"/>
          <w:sz w:val="20"/>
          <w:szCs w:val="16"/>
          <w14:textFill>
            <w14:solidFill>
              <w14:schemeClr w14:val="tx1"/>
            </w14:solidFill>
          </w14:textFill>
        </w:rPr>
        <w:t>%</w:t>
      </w:r>
      <w:r>
        <w:rPr>
          <w:color w:val="000000" w:themeColor="text1"/>
          <w:sz w:val="20"/>
          <w:szCs w:val="16"/>
          <w14:textFill>
            <w14:solidFill>
              <w14:schemeClr w14:val="tx1"/>
            </w14:solidFill>
          </w14:textFill>
        </w:rPr>
        <w:t>作为预付款，计</w:t>
      </w:r>
      <w:r>
        <w:rPr>
          <w:rFonts w:ascii="Verdana" w:hAnsi="Verdana" w:eastAsia="Verdana"/>
          <w:color w:val="000000" w:themeColor="text1"/>
          <w:sz w:val="20"/>
          <w:szCs w:val="16"/>
          <w14:textFill>
            <w14:solidFill>
              <w14:schemeClr w14:val="tx1"/>
            </w14:solidFill>
          </w14:textFill>
        </w:rPr>
        <w:t>¥</w:t>
      </w:r>
      <w:r>
        <w:rPr>
          <w:rFonts w:ascii="Verdana" w:hAnsi="Verdana" w:eastAsia="Verdana"/>
          <w:color w:val="000000" w:themeColor="text1"/>
          <w:sz w:val="20"/>
          <w:szCs w:val="16"/>
          <w:u w:val="single" w:color="4068E0"/>
          <w14:textFill>
            <w14:solidFill>
              <w14:schemeClr w14:val="tx1"/>
            </w14:solidFill>
          </w14:textFill>
        </w:rPr>
        <w:t xml:space="preserve"> </w:t>
      </w:r>
      <w:r>
        <w:rPr>
          <w:rFonts w:hint="eastAsia" w:ascii="Verdana" w:hAnsi="Verdan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元（大写</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元整）；</w:t>
      </w:r>
    </w:p>
    <w:p>
      <w:pPr>
        <w:pStyle w:val="16"/>
        <w:numPr>
          <w:ilvl w:val="0"/>
          <w:numId w:val="7"/>
        </w:numPr>
        <w:tabs>
          <w:tab w:val="left" w:pos="797"/>
          <w:tab w:val="left" w:pos="2632"/>
          <w:tab w:val="left" w:pos="6150"/>
          <w:tab w:val="left" w:pos="7098"/>
          <w:tab w:val="left" w:pos="8095"/>
        </w:tabs>
        <w:spacing w:before="118"/>
        <w:ind w:hanging="445"/>
        <w:rPr>
          <w:color w:val="000000" w:themeColor="text1"/>
          <w:sz w:val="28"/>
          <w14:textFill>
            <w14:solidFill>
              <w14:schemeClr w14:val="tx1"/>
            </w14:solidFill>
          </w14:textFill>
        </w:rPr>
      </w:pPr>
      <w:r>
        <w:rPr>
          <w:color w:val="000000" w:themeColor="text1"/>
          <w:sz w:val="20"/>
          <w:szCs w:val="16"/>
          <w14:textFill>
            <w14:solidFill>
              <w14:schemeClr w14:val="tx1"/>
            </w14:solidFill>
          </w14:textFill>
        </w:rPr>
        <w:t>全部货物验收合格后</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个工作日内，甲方向乙方支付合同总价款的</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rFonts w:ascii="Verdana" w:hAnsi="Verdana" w:eastAsia="Verdana"/>
          <w:color w:val="000000" w:themeColor="text1"/>
          <w:sz w:val="20"/>
          <w:szCs w:val="16"/>
          <w14:textFill>
            <w14:solidFill>
              <w14:schemeClr w14:val="tx1"/>
            </w14:solidFill>
          </w14:textFill>
        </w:rPr>
        <w:t>%</w:t>
      </w:r>
      <w:r>
        <w:rPr>
          <w:color w:val="000000" w:themeColor="text1"/>
          <w:sz w:val="20"/>
          <w:szCs w:val="16"/>
          <w14:textFill>
            <w14:solidFill>
              <w14:schemeClr w14:val="tx1"/>
            </w14:solidFill>
          </w14:textFill>
        </w:rPr>
        <w:t>，计</w:t>
      </w:r>
      <w:r>
        <w:rPr>
          <w:rFonts w:ascii="Verdana" w:hAnsi="Verdana" w:eastAsia="Verdana"/>
          <w:color w:val="000000" w:themeColor="text1"/>
          <w:sz w:val="20"/>
          <w:szCs w:val="16"/>
          <w14:textFill>
            <w14:solidFill>
              <w14:schemeClr w14:val="tx1"/>
            </w14:solidFill>
          </w14:textFill>
        </w:rPr>
        <w:t>¥</w:t>
      </w:r>
      <w:r>
        <w:rPr>
          <w:rFonts w:ascii="Verdana" w:hAnsi="Verdana" w:eastAsia="Verdana"/>
          <w:color w:val="000000" w:themeColor="text1"/>
          <w:sz w:val="20"/>
          <w:szCs w:val="16"/>
          <w:u w:val="single" w:color="4068E0"/>
          <w14:textFill>
            <w14:solidFill>
              <w14:schemeClr w14:val="tx1"/>
            </w14:solidFill>
          </w14:textFill>
        </w:rPr>
        <w:t xml:space="preserve"> </w:t>
      </w:r>
      <w:r>
        <w:rPr>
          <w:rFonts w:hint="eastAsia" w:ascii="Verdana" w:hAnsi="Verdan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元（大写</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元整）。</w:t>
      </w:r>
    </w:p>
    <w:p>
      <w:pPr>
        <w:pStyle w:val="2"/>
        <w:spacing w:before="166"/>
        <w:rPr>
          <w:color w:val="000000" w:themeColor="text1"/>
          <w:sz w:val="20"/>
          <w14:textFill>
            <w14:solidFill>
              <w14:schemeClr w14:val="tx1"/>
            </w14:solidFill>
          </w14:textFill>
        </w:rPr>
      </w:pPr>
      <w:r>
        <w:rPr>
          <w:color w:val="000000" w:themeColor="text1"/>
          <w:sz w:val="20"/>
          <w14:textFill>
            <w14:solidFill>
              <w14:schemeClr w14:val="tx1"/>
            </w14:solidFill>
          </w14:textFill>
        </w:rPr>
        <w:t>九、税费</w:t>
      </w:r>
    </w:p>
    <w:p>
      <w:pPr>
        <w:pStyle w:val="3"/>
        <w:spacing w:before="23"/>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本合同执行中相关的一切税费均由乙方负担。</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十、质量保证及售后服务</w:t>
      </w:r>
    </w:p>
    <w:p>
      <w:pPr>
        <w:pStyle w:val="16"/>
        <w:numPr>
          <w:ilvl w:val="0"/>
          <w:numId w:val="8"/>
        </w:numPr>
        <w:tabs>
          <w:tab w:val="left" w:pos="522"/>
        </w:tabs>
        <w:rPr>
          <w:color w:val="000000" w:themeColor="text1"/>
          <w:sz w:val="20"/>
          <w14:textFill>
            <w14:solidFill>
              <w14:schemeClr w14:val="tx1"/>
            </w14:solidFill>
          </w14:textFill>
        </w:rPr>
      </w:pPr>
      <w:r>
        <w:rPr>
          <w:color w:val="000000" w:themeColor="text1"/>
          <w:sz w:val="20"/>
          <w14:textFill>
            <w14:solidFill>
              <w14:schemeClr w14:val="tx1"/>
            </w14:solidFill>
          </w14:textFill>
        </w:rPr>
        <w:t>乙方保证本合同中所供应的商品是最新生产的符合国家技术规格和质量标准的出厂原装</w:t>
      </w:r>
      <w:r>
        <w:rPr>
          <w:rFonts w:hint="eastAsia"/>
          <w:color w:val="000000" w:themeColor="text1"/>
          <w:sz w:val="20"/>
          <w14:textFill>
            <w14:solidFill>
              <w14:schemeClr w14:val="tx1"/>
            </w14:solidFill>
          </w14:textFill>
        </w:rPr>
        <w:t>的</w:t>
      </w:r>
      <w:r>
        <w:rPr>
          <w:color w:val="000000" w:themeColor="text1"/>
          <w:sz w:val="20"/>
          <w14:textFill>
            <w14:solidFill>
              <w14:schemeClr w14:val="tx1"/>
            </w14:solidFill>
          </w14:textFill>
        </w:rPr>
        <w:t>合格产品。如发生所供商品与合同不符，甲方</w:t>
      </w:r>
      <w:r>
        <w:rPr>
          <w:rFonts w:hint="eastAsia"/>
          <w:color w:val="000000" w:themeColor="text1"/>
          <w:sz w:val="20"/>
          <w14:textFill>
            <w14:solidFill>
              <w14:schemeClr w14:val="tx1"/>
            </w14:solidFill>
          </w14:textFill>
        </w:rPr>
        <w:t>（采购单位）有权拒收或退货，由此产生的一切责任和后果由乙方承担。</w:t>
      </w:r>
    </w:p>
    <w:p>
      <w:pPr>
        <w:pStyle w:val="16"/>
        <w:numPr>
          <w:ilvl w:val="0"/>
          <w:numId w:val="8"/>
        </w:numPr>
        <w:tabs>
          <w:tab w:val="left" w:pos="522"/>
        </w:tabs>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16"/>
        <w:numPr>
          <w:ilvl w:val="0"/>
          <w:numId w:val="9"/>
        </w:numPr>
        <w:tabs>
          <w:tab w:val="left" w:pos="797"/>
        </w:tabs>
        <w:spacing w:before="0"/>
        <w:ind w:hanging="445"/>
        <w:rPr>
          <w:color w:val="000000" w:themeColor="text1"/>
          <w:sz w:val="20"/>
          <w14:textFill>
            <w14:solidFill>
              <w14:schemeClr w14:val="tx1"/>
            </w14:solidFill>
          </w14:textFill>
        </w:rPr>
      </w:pPr>
      <w:r>
        <w:rPr>
          <w:color w:val="000000" w:themeColor="text1"/>
          <w:sz w:val="20"/>
          <w14:textFill>
            <w14:solidFill>
              <w14:schemeClr w14:val="tx1"/>
            </w14:solidFill>
          </w14:textFill>
        </w:rPr>
        <w:t>更换：由乙方承担所发生的全部费用。</w:t>
      </w:r>
    </w:p>
    <w:p>
      <w:pPr>
        <w:pStyle w:val="16"/>
        <w:numPr>
          <w:ilvl w:val="0"/>
          <w:numId w:val="9"/>
        </w:numPr>
        <w:tabs>
          <w:tab w:val="left" w:pos="797"/>
        </w:tabs>
        <w:spacing w:before="22"/>
        <w:ind w:hanging="445"/>
        <w:rPr>
          <w:color w:val="000000" w:themeColor="text1"/>
          <w:sz w:val="20"/>
          <w14:textFill>
            <w14:solidFill>
              <w14:schemeClr w14:val="tx1"/>
            </w14:solidFill>
          </w14:textFill>
        </w:rPr>
      </w:pPr>
      <w:r>
        <w:rPr>
          <w:color w:val="000000" w:themeColor="text1"/>
          <w:sz w:val="20"/>
          <w14:textFill>
            <w14:solidFill>
              <w14:schemeClr w14:val="tx1"/>
            </w14:solidFill>
          </w14:textFill>
        </w:rPr>
        <w:t>贬值处理：由甲乙双方合议定价。</w:t>
      </w:r>
    </w:p>
    <w:p>
      <w:pPr>
        <w:pStyle w:val="16"/>
        <w:numPr>
          <w:ilvl w:val="0"/>
          <w:numId w:val="9"/>
        </w:numPr>
        <w:tabs>
          <w:tab w:val="left" w:pos="797"/>
        </w:tabs>
        <w:ind w:hanging="445"/>
        <w:rPr>
          <w:color w:val="000000" w:themeColor="text1"/>
          <w:sz w:val="20"/>
          <w14:textFill>
            <w14:solidFill>
              <w14:schemeClr w14:val="tx1"/>
            </w14:solidFill>
          </w14:textFill>
        </w:rPr>
      </w:pPr>
      <w:r>
        <w:rPr>
          <w:color w:val="000000" w:themeColor="text1"/>
          <w:sz w:val="20"/>
          <w14:textFill>
            <w14:solidFill>
              <w14:schemeClr w14:val="tx1"/>
            </w14:solidFill>
          </w14:textFill>
        </w:rPr>
        <w:t>退货处理：乙方应退还甲方支付的合同款，同时应承担该货物的直接费用（运输、保险、检验、货款利息及银行手续费等）。</w:t>
      </w:r>
    </w:p>
    <w:p>
      <w:pPr>
        <w:pStyle w:val="16"/>
        <w:numPr>
          <w:ilvl w:val="0"/>
          <w:numId w:val="8"/>
        </w:numPr>
        <w:tabs>
          <w:tab w:val="left" w:pos="522"/>
        </w:tabs>
        <w:spacing w:before="22"/>
        <w:rPr>
          <w:color w:val="000000" w:themeColor="text1"/>
          <w:sz w:val="20"/>
          <w14:textFill>
            <w14:solidFill>
              <w14:schemeClr w14:val="tx1"/>
            </w14:solidFill>
          </w14:textFill>
        </w:rPr>
      </w:pPr>
      <w:r>
        <w:rPr>
          <w:color w:val="000000" w:themeColor="text1"/>
          <w:sz w:val="20"/>
          <w14:textFill>
            <w14:solidFill>
              <w14:schemeClr w14:val="tx1"/>
            </w14:solidFill>
          </w14:textFill>
        </w:rPr>
        <w:t>在质保期内，乙方应对货物出现的质量及安全问题负责处理解决并承担一切费用。</w:t>
      </w:r>
    </w:p>
    <w:p>
      <w:pPr>
        <w:pStyle w:val="16"/>
        <w:numPr>
          <w:ilvl w:val="0"/>
          <w:numId w:val="8"/>
        </w:numPr>
        <w:tabs>
          <w:tab w:val="left" w:pos="522"/>
        </w:tabs>
        <w:spacing w:before="22"/>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2"/>
        <w:spacing w:before="85"/>
        <w:rPr>
          <w:color w:val="000000" w:themeColor="text1"/>
          <w:sz w:val="20"/>
          <w14:textFill>
            <w14:solidFill>
              <w14:schemeClr w14:val="tx1"/>
            </w14:solidFill>
          </w14:textFill>
        </w:rPr>
      </w:pPr>
      <w:r>
        <w:rPr>
          <w:color w:val="000000" w:themeColor="text1"/>
          <w:sz w:val="20"/>
          <w14:textFill>
            <w14:solidFill>
              <w14:schemeClr w14:val="tx1"/>
            </w14:solidFill>
          </w14:textFill>
        </w:rPr>
        <w:t>十一、调试和验收</w:t>
      </w:r>
    </w:p>
    <w:p>
      <w:pPr>
        <w:pStyle w:val="16"/>
        <w:numPr>
          <w:ilvl w:val="0"/>
          <w:numId w:val="10"/>
        </w:numPr>
        <w:tabs>
          <w:tab w:val="left" w:pos="522"/>
        </w:tabs>
        <w:spacing w:before="106"/>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甲方对乙方提交的货物依据招标文件上的技术规格要求和国家有关质量标准进行现场验收。货到后，甲方需在</w:t>
      </w:r>
      <w:r>
        <w:rPr>
          <w:rFonts w:hint="eastAsia"/>
          <w:color w:val="000000" w:themeColor="text1"/>
          <w:sz w:val="20"/>
          <w14:textFill>
            <w14:solidFill>
              <w14:schemeClr w14:val="tx1"/>
            </w14:solidFill>
          </w14:textFill>
        </w:rPr>
        <w:t>二十</w:t>
      </w:r>
      <w:r>
        <w:rPr>
          <w:color w:val="000000" w:themeColor="text1"/>
          <w:sz w:val="20"/>
          <w14:textFill>
            <w14:solidFill>
              <w14:schemeClr w14:val="tx1"/>
            </w14:solidFill>
          </w14:textFill>
        </w:rPr>
        <w:t>个工作日内验收</w:t>
      </w:r>
      <w:r>
        <w:rPr>
          <w:rFonts w:hint="eastAsia"/>
          <w:color w:val="000000" w:themeColor="text1"/>
          <w:sz w:val="20"/>
          <w14:textFill>
            <w14:solidFill>
              <w14:schemeClr w14:val="tx1"/>
            </w14:solidFill>
          </w14:textFill>
        </w:rPr>
        <w:t>（质量等隐蔽瑕疵除外）。</w:t>
      </w:r>
    </w:p>
    <w:p>
      <w:pPr>
        <w:pStyle w:val="16"/>
        <w:numPr>
          <w:ilvl w:val="0"/>
          <w:numId w:val="10"/>
        </w:numPr>
        <w:tabs>
          <w:tab w:val="left" w:pos="522"/>
        </w:tabs>
        <w:ind w:left="111" w:right="101" w:firstLine="240"/>
        <w:rPr>
          <w:color w:val="000000" w:themeColor="text1"/>
          <w:sz w:val="20"/>
          <w14:textFill>
            <w14:solidFill>
              <w14:schemeClr w14:val="tx1"/>
            </w14:solidFill>
          </w14:textFill>
        </w:rPr>
      </w:pPr>
      <w:r>
        <w:rPr>
          <w:color w:val="000000" w:themeColor="text1"/>
          <w:sz w:val="20"/>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16"/>
        <w:numPr>
          <w:ilvl w:val="0"/>
          <w:numId w:val="10"/>
        </w:numPr>
        <w:tabs>
          <w:tab w:val="left" w:pos="522"/>
        </w:tabs>
        <w:spacing w:before="0"/>
        <w:ind w:left="111" w:right="101" w:firstLine="240"/>
        <w:rPr>
          <w:color w:val="000000" w:themeColor="text1"/>
          <w:sz w:val="20"/>
          <w14:textFill>
            <w14:solidFill>
              <w14:schemeClr w14:val="tx1"/>
            </w14:solidFill>
          </w14:textFill>
        </w:rPr>
      </w:pPr>
      <w:r>
        <w:rPr>
          <w:color w:val="000000" w:themeColor="text1"/>
          <w:sz w:val="20"/>
          <w14:textFill>
            <w14:solidFill>
              <w14:schemeClr w14:val="tx1"/>
            </w14:solidFill>
          </w14:textFill>
        </w:rPr>
        <w:t>甲方对乙方提供的货物在使用前进行调试时，乙方需负责安装并培训甲方的使用操作人员，并协助甲方一起调试，直到符合技术要求，    甲方才做最终验收。</w:t>
      </w:r>
    </w:p>
    <w:p>
      <w:pPr>
        <w:pStyle w:val="16"/>
        <w:numPr>
          <w:ilvl w:val="0"/>
          <w:numId w:val="10"/>
        </w:numPr>
        <w:tabs>
          <w:tab w:val="left" w:pos="522"/>
        </w:tabs>
        <w:spacing w:before="0"/>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对技术复杂的货物，甲方应请国家认可的专业检测机构参与验收，并由其出具质量检测报告。</w:t>
      </w:r>
    </w:p>
    <w:p>
      <w:pPr>
        <w:pStyle w:val="16"/>
        <w:numPr>
          <w:ilvl w:val="0"/>
          <w:numId w:val="10"/>
        </w:numPr>
        <w:tabs>
          <w:tab w:val="left" w:pos="522"/>
        </w:tabs>
        <w:spacing w:before="22"/>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验收时乙方必须在现场，验收完毕后作出验收结果报告；验收费用由乙方负责。</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十二、货物包装</w:t>
      </w:r>
    </w:p>
    <w:p>
      <w:pPr>
        <w:pStyle w:val="16"/>
        <w:numPr>
          <w:ilvl w:val="0"/>
          <w:numId w:val="11"/>
        </w:numPr>
        <w:tabs>
          <w:tab w:val="left" w:pos="522"/>
        </w:tabs>
        <w:spacing w:before="22"/>
        <w:rPr>
          <w:color w:val="000000" w:themeColor="text1"/>
          <w:sz w:val="20"/>
          <w14:textFill>
            <w14:solidFill>
              <w14:schemeClr w14:val="tx1"/>
            </w14:solidFill>
          </w14:textFill>
        </w:rPr>
      </w:pPr>
      <w:r>
        <w:rPr>
          <w:color w:val="000000" w:themeColor="text1"/>
          <w:sz w:val="20"/>
          <w14:textFill>
            <w14:solidFill>
              <w14:schemeClr w14:val="tx1"/>
            </w14:solidFill>
          </w14:textFill>
        </w:rPr>
        <w:t>乙方应在货物发运前对其进行满足运输距离、防潮、防震、防锈和防破损装卸等要求包装，以保证货物安全运达甲方指定地点。</w:t>
      </w:r>
    </w:p>
    <w:p>
      <w:pPr>
        <w:pStyle w:val="16"/>
        <w:numPr>
          <w:ilvl w:val="0"/>
          <w:numId w:val="11"/>
        </w:numPr>
        <w:tabs>
          <w:tab w:val="left" w:pos="522"/>
        </w:tabs>
        <w:spacing w:before="22"/>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ab/>
      </w:r>
      <w:r>
        <w:rPr>
          <w:rFonts w:hint="eastAsia"/>
          <w:color w:val="000000" w:themeColor="text1"/>
          <w:sz w:val="20"/>
          <w14:textFill>
            <w14:solidFill>
              <w14:schemeClr w14:val="tx1"/>
            </w14:solidFill>
          </w14:textFill>
        </w:rPr>
        <w:t>使用说明书、质量检验证明书、随配附件和工具以及清单一并附于货物内。</w:t>
      </w:r>
    </w:p>
    <w:p>
      <w:pPr>
        <w:pStyle w:val="16"/>
        <w:tabs>
          <w:tab w:val="left" w:pos="522"/>
        </w:tabs>
        <w:ind w:left="0" w:right="4471" w:firstLine="0"/>
        <w:rPr>
          <w:b/>
          <w:color w:val="000000" w:themeColor="text1"/>
          <w:sz w:val="20"/>
          <w14:textFill>
            <w14:solidFill>
              <w14:schemeClr w14:val="tx1"/>
            </w14:solidFill>
          </w14:textFill>
        </w:rPr>
      </w:pPr>
      <w:r>
        <w:rPr>
          <w:rFonts w:hint="eastAsia"/>
          <w:b/>
          <w:color w:val="000000" w:themeColor="text1"/>
          <w:spacing w:val="10"/>
          <w:sz w:val="20"/>
          <w14:textFill>
            <w14:solidFill>
              <w14:schemeClr w14:val="tx1"/>
            </w14:solidFill>
          </w14:textFill>
        </w:rPr>
        <w:t>十</w:t>
      </w:r>
      <w:r>
        <w:rPr>
          <w:b/>
          <w:color w:val="000000" w:themeColor="text1"/>
          <w:spacing w:val="10"/>
          <w:sz w:val="20"/>
          <w14:textFill>
            <w14:solidFill>
              <w14:schemeClr w14:val="tx1"/>
            </w14:solidFill>
          </w14:textFill>
        </w:rPr>
        <w:t>三、违约责任</w:t>
      </w:r>
    </w:p>
    <w:p>
      <w:pPr>
        <w:pStyle w:val="16"/>
        <w:numPr>
          <w:ilvl w:val="0"/>
          <w:numId w:val="12"/>
        </w:numPr>
        <w:tabs>
          <w:tab w:val="left" w:pos="522"/>
        </w:tabs>
        <w:spacing w:before="0"/>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甲方无正当理由拒收货物的，甲方向乙方偿付拒收货款总值的</w:t>
      </w:r>
      <w:r>
        <w:rPr>
          <w:color w:val="000000" w:themeColor="text1"/>
          <w:spacing w:val="3"/>
          <w:sz w:val="20"/>
          <w:u w:val="single" w:color="4068E0"/>
          <w14:textFill>
            <w14:solidFill>
              <w14:schemeClr w14:val="tx1"/>
            </w14:solidFill>
          </w14:textFill>
        </w:rPr>
        <w:t xml:space="preserve"> 百分之五</w:t>
      </w:r>
      <w:r>
        <w:rPr>
          <w:color w:val="000000" w:themeColor="text1"/>
          <w:spacing w:val="45"/>
          <w:sz w:val="20"/>
          <w14:textFill>
            <w14:solidFill>
              <w14:schemeClr w14:val="tx1"/>
            </w14:solidFill>
          </w14:textFill>
        </w:rPr>
        <w:t xml:space="preserve"> </w:t>
      </w:r>
      <w:r>
        <w:rPr>
          <w:color w:val="000000" w:themeColor="text1"/>
          <w:sz w:val="20"/>
          <w14:textFill>
            <w14:solidFill>
              <w14:schemeClr w14:val="tx1"/>
            </w14:solidFill>
          </w14:textFill>
        </w:rPr>
        <w:t>违约金。</w:t>
      </w:r>
    </w:p>
    <w:p>
      <w:pPr>
        <w:pStyle w:val="16"/>
        <w:numPr>
          <w:ilvl w:val="0"/>
          <w:numId w:val="12"/>
        </w:numPr>
        <w:tabs>
          <w:tab w:val="left" w:pos="522"/>
        </w:tabs>
        <w:spacing w:before="117"/>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甲方无故逾期验收和办理货款支付手续的</w:t>
      </w:r>
      <w:r>
        <w:rPr>
          <w:rFonts w:ascii="Verdana" w:eastAsia="Verdana"/>
          <w:color w:val="000000" w:themeColor="text1"/>
          <w:sz w:val="20"/>
          <w14:textFill>
            <w14:solidFill>
              <w14:schemeClr w14:val="tx1"/>
            </w14:solidFill>
          </w14:textFill>
        </w:rPr>
        <w:t>,</w:t>
      </w:r>
      <w:r>
        <w:rPr>
          <w:color w:val="000000" w:themeColor="text1"/>
          <w:sz w:val="20"/>
          <w14:textFill>
            <w14:solidFill>
              <w14:schemeClr w14:val="tx1"/>
            </w14:solidFill>
          </w14:textFill>
        </w:rPr>
        <w:t>甲方应按逾期付款总额每日</w:t>
      </w:r>
      <w:r>
        <w:rPr>
          <w:color w:val="000000" w:themeColor="text1"/>
          <w:spacing w:val="2"/>
          <w:sz w:val="20"/>
          <w:u w:val="single" w:color="4068E0"/>
          <w14:textFill>
            <w14:solidFill>
              <w14:schemeClr w14:val="tx1"/>
            </w14:solidFill>
          </w14:textFill>
        </w:rPr>
        <w:t xml:space="preserve"> 万分之五</w:t>
      </w:r>
      <w:r>
        <w:rPr>
          <w:color w:val="000000" w:themeColor="text1"/>
          <w:spacing w:val="43"/>
          <w:sz w:val="20"/>
          <w14:textFill>
            <w14:solidFill>
              <w14:schemeClr w14:val="tx1"/>
            </w14:solidFill>
          </w14:textFill>
        </w:rPr>
        <w:t xml:space="preserve"> </w:t>
      </w:r>
      <w:r>
        <w:rPr>
          <w:color w:val="000000" w:themeColor="text1"/>
          <w:sz w:val="20"/>
          <w14:textFill>
            <w14:solidFill>
              <w14:schemeClr w14:val="tx1"/>
            </w14:solidFill>
          </w14:textFill>
        </w:rPr>
        <w:t>向乙方支付违约金。</w:t>
      </w:r>
    </w:p>
    <w:p>
      <w:pPr>
        <w:pStyle w:val="16"/>
        <w:numPr>
          <w:ilvl w:val="0"/>
          <w:numId w:val="12"/>
        </w:numPr>
        <w:tabs>
          <w:tab w:val="left" w:pos="522"/>
        </w:tabs>
        <w:spacing w:before="118"/>
        <w:rPr>
          <w:color w:val="000000" w:themeColor="text1"/>
          <w:sz w:val="20"/>
          <w14:textFill>
            <w14:solidFill>
              <w14:schemeClr w14:val="tx1"/>
            </w14:solidFill>
          </w14:textFill>
        </w:rPr>
      </w:pPr>
      <w:r>
        <w:rPr>
          <w:color w:val="000000" w:themeColor="text1"/>
          <w:sz w:val="20"/>
          <w14:textFill>
            <w14:solidFill>
              <w14:schemeClr w14:val="tx1"/>
            </w14:solidFill>
          </w14:textFill>
        </w:rPr>
        <w:t>乙方逾期交付货物的，乙方应按逾期交货总额每日</w:t>
      </w:r>
      <w:r>
        <w:rPr>
          <w:color w:val="000000" w:themeColor="text1"/>
          <w:spacing w:val="15"/>
          <w:sz w:val="20"/>
          <w:u w:val="single" w:color="4068E0"/>
          <w14:textFill>
            <w14:solidFill>
              <w14:schemeClr w14:val="tx1"/>
            </w14:solidFill>
          </w14:textFill>
        </w:rPr>
        <w:t xml:space="preserve"> 千分之六</w:t>
      </w:r>
      <w:r>
        <w:rPr>
          <w:color w:val="000000" w:themeColor="text1"/>
          <w:spacing w:val="29"/>
          <w:sz w:val="20"/>
          <w14:textFill>
            <w14:solidFill>
              <w14:schemeClr w14:val="tx1"/>
            </w14:solidFill>
          </w14:textFill>
        </w:rPr>
        <w:t xml:space="preserve"> </w:t>
      </w:r>
      <w:r>
        <w:rPr>
          <w:color w:val="000000" w:themeColor="text1"/>
          <w:sz w:val="20"/>
          <w14:textFill>
            <w14:solidFill>
              <w14:schemeClr w14:val="tx1"/>
            </w14:solidFill>
          </w14:textFill>
        </w:rPr>
        <w:t>向甲方支付违约金，由甲方从待付货款中扣除。逾期超过约定日期</w:t>
      </w:r>
      <w:r>
        <w:rPr>
          <w:rFonts w:hint="eastAsia"/>
          <w:color w:val="000000" w:themeColor="text1"/>
          <w:sz w:val="20"/>
          <w14:textFill>
            <w14:solidFill>
              <w14:schemeClr w14:val="tx1"/>
            </w14:solidFill>
          </w14:textFill>
        </w:rPr>
        <w:t xml:space="preserve">   10 个工作日不能交货的，甲方可解除本合同。乙方因逾期交货或因其他违约行为导致甲方解除合同的，乙方应向甲方支付合同总值</w:t>
      </w:r>
      <w:r>
        <w:rPr>
          <w:rFonts w:hint="eastAsia"/>
          <w:color w:val="000000" w:themeColor="text1"/>
          <w:sz w:val="20"/>
          <w:u w:val="single"/>
          <w14:textFill>
            <w14:solidFill>
              <w14:schemeClr w14:val="tx1"/>
            </w14:solidFill>
          </w14:textFill>
        </w:rPr>
        <w:t xml:space="preserve"> 5</w:t>
      </w:r>
      <w:r>
        <w:rPr>
          <w:rFonts w:hint="eastAsia"/>
          <w:color w:val="000000" w:themeColor="text1"/>
          <w:sz w:val="20"/>
          <w14:textFill>
            <w14:solidFill>
              <w14:schemeClr w14:val="tx1"/>
            </w14:solidFill>
          </w14:textFill>
        </w:rPr>
        <w:t>%的违约金，如造成甲方损失超过违约金的，超出部分由乙方继续承担赔偿责任。</w:t>
      </w:r>
    </w:p>
    <w:p>
      <w:pPr>
        <w:pStyle w:val="16"/>
        <w:numPr>
          <w:ilvl w:val="0"/>
          <w:numId w:val="12"/>
        </w:numPr>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
        <w:spacing w:before="85"/>
        <w:rPr>
          <w:color w:val="000000" w:themeColor="text1"/>
          <w:sz w:val="20"/>
          <w14:textFill>
            <w14:solidFill>
              <w14:schemeClr w14:val="tx1"/>
            </w14:solidFill>
          </w14:textFill>
        </w:rPr>
      </w:pPr>
      <w:r>
        <w:rPr>
          <w:color w:val="000000" w:themeColor="text1"/>
          <w:sz w:val="20"/>
          <w14:textFill>
            <w14:solidFill>
              <w14:schemeClr w14:val="tx1"/>
            </w14:solidFill>
          </w14:textFill>
        </w:rPr>
        <w:t>十四、不可抗力事件处理</w:t>
      </w:r>
    </w:p>
    <w:p>
      <w:pPr>
        <w:pStyle w:val="16"/>
        <w:numPr>
          <w:ilvl w:val="0"/>
          <w:numId w:val="13"/>
        </w:numPr>
        <w:tabs>
          <w:tab w:val="left" w:pos="522"/>
        </w:tabs>
        <w:spacing w:before="106"/>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在合同有效期内，任何一方因不可抗力事件导致不能履行合同，</w:t>
      </w:r>
      <w:r>
        <w:rPr>
          <w:rFonts w:hint="eastAsia"/>
          <w:color w:val="000000" w:themeColor="text1"/>
          <w:sz w:val="20"/>
          <w14:textFill>
            <w14:solidFill>
              <w14:schemeClr w14:val="tx1"/>
            </w14:solidFill>
          </w14:textFill>
        </w:rPr>
        <w:t>双方协商后，</w:t>
      </w:r>
      <w:r>
        <w:rPr>
          <w:color w:val="000000" w:themeColor="text1"/>
          <w:sz w:val="20"/>
          <w14:textFill>
            <w14:solidFill>
              <w14:schemeClr w14:val="tx1"/>
            </w14:solidFill>
          </w14:textFill>
        </w:rPr>
        <w:t>则合同履行期可延长，其延长期与不可抗力影响期相同。</w:t>
      </w:r>
    </w:p>
    <w:p>
      <w:pPr>
        <w:pStyle w:val="16"/>
        <w:numPr>
          <w:ilvl w:val="0"/>
          <w:numId w:val="13"/>
        </w:numPr>
        <w:tabs>
          <w:tab w:val="left" w:pos="522"/>
        </w:tabs>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不可抗力事件发生后，应立即通知对方，并寄送有关权威机构出具的证明。</w:t>
      </w:r>
    </w:p>
    <w:p>
      <w:pPr>
        <w:pStyle w:val="16"/>
        <w:numPr>
          <w:ilvl w:val="0"/>
          <w:numId w:val="13"/>
        </w:numPr>
        <w:tabs>
          <w:tab w:val="left" w:pos="522"/>
        </w:tabs>
        <w:spacing w:before="22"/>
        <w:ind w:hanging="170"/>
        <w:rPr>
          <w:color w:val="000000" w:themeColor="text1"/>
          <w:sz w:val="20"/>
          <w14:textFill>
            <w14:solidFill>
              <w14:schemeClr w14:val="tx1"/>
            </w14:solidFill>
          </w14:textFill>
        </w:rPr>
      </w:pPr>
      <w:r>
        <w:rPr>
          <w:color w:val="000000" w:themeColor="text1"/>
          <w:spacing w:val="-3"/>
          <w:sz w:val="20"/>
          <w14:textFill>
            <w14:solidFill>
              <w14:schemeClr w14:val="tx1"/>
            </w14:solidFill>
          </w14:textFill>
        </w:rPr>
        <w:t xml:space="preserve">不可抗力事件延续 </w:t>
      </w:r>
      <w:r>
        <w:rPr>
          <w:color w:val="000000" w:themeColor="text1"/>
          <w:sz w:val="20"/>
          <w14:textFill>
            <w14:solidFill>
              <w14:schemeClr w14:val="tx1"/>
            </w14:solidFill>
          </w14:textFill>
        </w:rPr>
        <w:t>120天以上，双方</w:t>
      </w:r>
      <w:r>
        <w:rPr>
          <w:rFonts w:hint="eastAsia"/>
          <w:color w:val="000000" w:themeColor="text1"/>
          <w:sz w:val="20"/>
          <w14:textFill>
            <w14:solidFill>
              <w14:schemeClr w14:val="tx1"/>
            </w14:solidFill>
          </w14:textFill>
        </w:rPr>
        <w:t>可以</w:t>
      </w:r>
      <w:r>
        <w:rPr>
          <w:color w:val="000000" w:themeColor="text1"/>
          <w:sz w:val="20"/>
          <w14:textFill>
            <w14:solidFill>
              <w14:schemeClr w14:val="tx1"/>
            </w14:solidFill>
          </w14:textFill>
        </w:rPr>
        <w:t>通过友好协商，确定是否继续履行合同。</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十五、诉讼</w:t>
      </w:r>
    </w:p>
    <w:p>
      <w:pPr>
        <w:pStyle w:val="3"/>
        <w:spacing w:before="22"/>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双方在执行合同中所发生的一切争议，应通过协商解决。如协商不成，可向甲方所在地法院起诉。</w:t>
      </w:r>
    </w:p>
    <w:p>
      <w:pPr>
        <w:pStyle w:val="2"/>
        <w:spacing w:before="107"/>
        <w:rPr>
          <w:sz w:val="20"/>
        </w:rPr>
      </w:pPr>
      <w:r>
        <w:rPr>
          <w:sz w:val="20"/>
        </w:rPr>
        <w:t>十六、合同生效及其它</w:t>
      </w:r>
    </w:p>
    <w:p>
      <w:pPr>
        <w:pStyle w:val="16"/>
        <w:numPr>
          <w:ilvl w:val="0"/>
          <w:numId w:val="14"/>
        </w:numPr>
        <w:tabs>
          <w:tab w:val="left" w:pos="522"/>
        </w:tabs>
        <w:ind w:hanging="170"/>
        <w:rPr>
          <w:sz w:val="20"/>
        </w:rPr>
      </w:pPr>
      <w:r>
        <w:rPr>
          <w:sz w:val="20"/>
        </w:rPr>
        <w:t>本合同经甲、乙双方签字并加盖单位公章后生效。</w:t>
      </w:r>
    </w:p>
    <w:p>
      <w:pPr>
        <w:pStyle w:val="16"/>
        <w:numPr>
          <w:ilvl w:val="0"/>
          <w:numId w:val="14"/>
        </w:numPr>
        <w:tabs>
          <w:tab w:val="left" w:pos="522"/>
        </w:tabs>
        <w:ind w:left="111" w:right="101" w:firstLine="240"/>
        <w:rPr>
          <w:sz w:val="20"/>
        </w:rPr>
      </w:pPr>
      <w:r>
        <w:rPr>
          <w:sz w:val="20"/>
        </w:rPr>
        <w:t>招标文件、投标文件、项目采购协议或入围承诺书与本合同具有同等法律效力。如前述各项文件之间约定不一致的，应以最新签署的文件内容为准。</w:t>
      </w:r>
    </w:p>
    <w:p>
      <w:pPr>
        <w:pStyle w:val="16"/>
        <w:numPr>
          <w:ilvl w:val="0"/>
          <w:numId w:val="14"/>
        </w:numPr>
        <w:tabs>
          <w:tab w:val="left" w:pos="522"/>
        </w:tabs>
        <w:spacing w:before="1"/>
        <w:rPr>
          <w:sz w:val="20"/>
        </w:rPr>
      </w:pPr>
      <w:r>
        <w:rPr>
          <w:sz w:val="20"/>
        </w:rPr>
        <w:t>本合同未尽事宜，</w:t>
      </w:r>
      <w:r>
        <w:rPr>
          <w:rFonts w:hint="eastAsia"/>
          <w:sz w:val="20"/>
        </w:rPr>
        <w:t>以招投标文件为准</w:t>
      </w:r>
      <w:r>
        <w:rPr>
          <w:sz w:val="20"/>
        </w:rPr>
        <w:t>。</w:t>
      </w:r>
    </w:p>
    <w:p>
      <w:pPr>
        <w:pStyle w:val="16"/>
        <w:numPr>
          <w:ilvl w:val="0"/>
          <w:numId w:val="14"/>
        </w:numPr>
        <w:rPr>
          <w:sz w:val="20"/>
        </w:rPr>
      </w:pPr>
      <w:r>
        <w:rPr>
          <w:rFonts w:hint="eastAsia"/>
          <w:sz w:val="20"/>
        </w:rPr>
        <w:t>本合同一式三份，甲方执二份，乙方执一份，具有同等法律效力。</w:t>
      </w:r>
    </w:p>
    <w:p>
      <w:pPr>
        <w:pStyle w:val="16"/>
        <w:numPr>
          <w:ilvl w:val="0"/>
          <w:numId w:val="14"/>
        </w:numPr>
        <w:rPr>
          <w:sz w:val="20"/>
        </w:rPr>
      </w:pPr>
      <w:r>
        <w:rPr>
          <w:rFonts w:hint="eastAsia"/>
          <w:sz w:val="20"/>
        </w:rPr>
        <w:t>附件设备配置清单系本合同不可分割的组成部分，与本合同具有同等法律效力。</w:t>
      </w: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left="105" w:right="209"/>
        <w:rPr>
          <w:sz w:val="18"/>
        </w:rPr>
      </w:pPr>
      <w:r>
        <w:rPr>
          <w:rFonts w:hint="eastAsia"/>
          <w:sz w:val="18"/>
        </w:rPr>
        <w:t>甲方（盖章）： 温州市中医院</w:t>
      </w:r>
      <w:r>
        <w:rPr>
          <w:rFonts w:hint="eastAsia"/>
          <w:sz w:val="18"/>
        </w:rPr>
        <w:tab/>
      </w:r>
      <w:r>
        <w:rPr>
          <w:rFonts w:hint="eastAsia"/>
          <w:sz w:val="18"/>
        </w:rPr>
        <w:tab/>
      </w:r>
      <w:r>
        <w:rPr>
          <w:rFonts w:hint="eastAsia"/>
          <w:sz w:val="18"/>
        </w:rPr>
        <w:t xml:space="preserve">              乙方（盖章）：  </w:t>
      </w:r>
    </w:p>
    <w:p>
      <w:pPr>
        <w:pStyle w:val="3"/>
        <w:spacing w:before="106" w:line="264" w:lineRule="auto"/>
        <w:ind w:left="105" w:right="209"/>
        <w:rPr>
          <w:sz w:val="18"/>
        </w:rPr>
      </w:pPr>
      <w:r>
        <w:rPr>
          <w:rFonts w:hint="eastAsia"/>
          <w:sz w:val="18"/>
        </w:rPr>
        <w:t xml:space="preserve">地址：温州市六虹桥路蛟尾路9号                     地址：                                                                                           </w:t>
      </w:r>
    </w:p>
    <w:p>
      <w:pPr>
        <w:pStyle w:val="3"/>
        <w:spacing w:before="106" w:line="264" w:lineRule="auto"/>
        <w:ind w:left="105" w:right="209"/>
        <w:rPr>
          <w:sz w:val="18"/>
        </w:rPr>
      </w:pPr>
      <w:r>
        <w:rPr>
          <w:rFonts w:hint="eastAsia"/>
          <w:sz w:val="18"/>
        </w:rPr>
        <w:t xml:space="preserve">法定（授权）代表人：                              法定（授权）代表人： </w:t>
      </w:r>
    </w:p>
    <w:p>
      <w:pPr>
        <w:pStyle w:val="3"/>
        <w:spacing w:before="106" w:line="264" w:lineRule="auto"/>
        <w:ind w:left="105" w:right="209"/>
        <w:rPr>
          <w:sz w:val="18"/>
        </w:rPr>
      </w:pPr>
      <w:r>
        <w:rPr>
          <w:rFonts w:hint="eastAsia"/>
          <w:sz w:val="18"/>
        </w:rPr>
        <w:t>签字日期：    年    月    日                      签字日期：    年   月   日</w:t>
      </w:r>
    </w:p>
    <w:p>
      <w:pPr>
        <w:widowControl/>
        <w:jc w:val="left"/>
        <w:rPr>
          <w:rFonts w:ascii="宋体" w:hAnsi="宋体" w:eastAsia="宋体" w:cs="宋体"/>
          <w:kern w:val="0"/>
          <w:szCs w:val="17"/>
          <w:lang w:val="zh-CN" w:bidi="zh-CN"/>
        </w:rPr>
      </w:pPr>
      <w:r>
        <w:br w:type="page"/>
      </w:r>
    </w:p>
    <w:p>
      <w:pPr>
        <w:jc w:val="center"/>
        <w:rPr>
          <w:b/>
          <w:sz w:val="36"/>
          <w:szCs w:val="36"/>
        </w:rPr>
      </w:pPr>
      <w:r>
        <w:rPr>
          <w:rFonts w:hint="eastAsia"/>
          <w:b/>
          <w:sz w:val="36"/>
          <w:szCs w:val="36"/>
        </w:rPr>
        <w:t>设备配置清单</w:t>
      </w:r>
    </w:p>
    <w:p>
      <w:pPr>
        <w:pStyle w:val="3"/>
        <w:rPr>
          <w:sz w:val="20"/>
        </w:rPr>
      </w:pPr>
    </w:p>
    <w:tbl>
      <w:tblPr>
        <w:tblStyle w:val="8"/>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17"/>
                <w:szCs w:val="17"/>
              </w:rPr>
            </w:pPr>
            <w:r>
              <w:rPr>
                <w:rFonts w:hint="eastAsia"/>
                <w:b/>
                <w:sz w:val="17"/>
                <w:szCs w:val="17"/>
              </w:rPr>
              <w:t>序号</w:t>
            </w:r>
          </w:p>
        </w:tc>
        <w:tc>
          <w:tcPr>
            <w:tcW w:w="992" w:type="dxa"/>
            <w:vAlign w:val="center"/>
          </w:tcPr>
          <w:p>
            <w:pPr>
              <w:jc w:val="center"/>
              <w:rPr>
                <w:b/>
                <w:sz w:val="17"/>
                <w:szCs w:val="17"/>
              </w:rPr>
            </w:pPr>
            <w:r>
              <w:rPr>
                <w:rFonts w:hint="eastAsia"/>
                <w:b/>
                <w:sz w:val="17"/>
                <w:szCs w:val="17"/>
              </w:rPr>
              <w:t>品牌</w:t>
            </w:r>
          </w:p>
        </w:tc>
        <w:tc>
          <w:tcPr>
            <w:tcW w:w="2934" w:type="dxa"/>
            <w:vAlign w:val="center"/>
          </w:tcPr>
          <w:p>
            <w:pPr>
              <w:jc w:val="center"/>
              <w:rPr>
                <w:b/>
                <w:sz w:val="17"/>
                <w:szCs w:val="17"/>
              </w:rPr>
            </w:pPr>
            <w:r>
              <w:rPr>
                <w:rFonts w:hint="eastAsia"/>
                <w:b/>
                <w:sz w:val="17"/>
                <w:szCs w:val="17"/>
              </w:rPr>
              <w:t>产品名称</w:t>
            </w:r>
          </w:p>
        </w:tc>
        <w:tc>
          <w:tcPr>
            <w:tcW w:w="1815" w:type="dxa"/>
            <w:vAlign w:val="center"/>
          </w:tcPr>
          <w:p>
            <w:pPr>
              <w:jc w:val="center"/>
              <w:rPr>
                <w:b/>
                <w:sz w:val="17"/>
                <w:szCs w:val="17"/>
              </w:rPr>
            </w:pPr>
            <w:r>
              <w:rPr>
                <w:rFonts w:hint="eastAsia"/>
                <w:b/>
                <w:sz w:val="17"/>
                <w:szCs w:val="17"/>
              </w:rPr>
              <w:t>规格型号</w:t>
            </w:r>
          </w:p>
        </w:tc>
        <w:tc>
          <w:tcPr>
            <w:tcW w:w="705" w:type="dxa"/>
            <w:vAlign w:val="center"/>
          </w:tcPr>
          <w:p>
            <w:pPr>
              <w:jc w:val="center"/>
              <w:rPr>
                <w:b/>
                <w:sz w:val="17"/>
                <w:szCs w:val="17"/>
              </w:rPr>
            </w:pPr>
            <w:r>
              <w:rPr>
                <w:rFonts w:hint="eastAsia"/>
                <w:b/>
                <w:sz w:val="17"/>
                <w:szCs w:val="17"/>
              </w:rPr>
              <w:t>数量</w:t>
            </w:r>
          </w:p>
        </w:tc>
        <w:tc>
          <w:tcPr>
            <w:tcW w:w="1110" w:type="dxa"/>
            <w:vAlign w:val="center"/>
          </w:tcPr>
          <w:p>
            <w:pPr>
              <w:jc w:val="center"/>
              <w:rPr>
                <w:b/>
                <w:sz w:val="17"/>
                <w:szCs w:val="17"/>
              </w:rPr>
            </w:pPr>
            <w:r>
              <w:rPr>
                <w:rFonts w:hint="eastAsia"/>
                <w:b/>
                <w:sz w:val="17"/>
                <w:szCs w:val="17"/>
              </w:rPr>
              <w:t>金额（元）</w:t>
            </w:r>
          </w:p>
        </w:tc>
        <w:tc>
          <w:tcPr>
            <w:tcW w:w="930" w:type="dxa"/>
            <w:vAlign w:val="center"/>
          </w:tcPr>
          <w:p>
            <w:pPr>
              <w:jc w:val="center"/>
              <w:rPr>
                <w:b/>
                <w:sz w:val="17"/>
                <w:szCs w:val="17"/>
              </w:rPr>
            </w:pPr>
            <w:r>
              <w:rPr>
                <w:rFonts w:hint="eastAsia"/>
                <w:b/>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2</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3</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4</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5</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6</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7</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8</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9</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10</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11</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12</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13</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14</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hint="eastAsia"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w:t>
      </w:r>
      <w:r>
        <w:rPr>
          <w:rFonts w:ascii="Calibri" w:hAnsi="Calibri" w:eastAsia="宋体" w:cs="Times New Roman"/>
          <w:bCs/>
          <w:sz w:val="18"/>
          <w:szCs w:val="20"/>
          <w:u w:val="single"/>
        </w:rPr>
        <w:t xml:space="preserve">                        </w:t>
      </w:r>
      <w:r>
        <w:rPr>
          <w:rFonts w:ascii="Calibri" w:hAnsi="Calibri" w:eastAsia="宋体" w:cs="Times New Roman"/>
          <w:bCs/>
          <w:sz w:val="18"/>
          <w:szCs w:val="20"/>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甲方（盖章）：                     </w:t>
      </w:r>
      <w:r>
        <w:rPr>
          <w:rFonts w:hint="eastAsia" w:ascii="Calibri" w:hAnsi="Calibri" w:eastAsia="宋体" w:cs="Times New Roman"/>
          <w:bCs/>
          <w:sz w:val="18"/>
          <w:szCs w:val="20"/>
        </w:rPr>
        <w:t xml:space="preserve">       </w:t>
      </w:r>
      <w:r>
        <w:rPr>
          <w:rFonts w:ascii="Calibri" w:hAnsi="Calibri" w:eastAsia="宋体" w:cs="Times New Roman"/>
          <w:bCs/>
          <w:sz w:val="18"/>
          <w:szCs w:val="20"/>
        </w:rPr>
        <w:t>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法定代表人（负责人）：             </w:t>
      </w:r>
      <w:r>
        <w:rPr>
          <w:rFonts w:hint="eastAsia" w:ascii="Calibri" w:hAnsi="Calibri" w:eastAsia="宋体" w:cs="Times New Roman"/>
          <w:bCs/>
          <w:sz w:val="18"/>
          <w:szCs w:val="20"/>
        </w:rPr>
        <w:t xml:space="preserve">       </w:t>
      </w:r>
      <w:r>
        <w:rPr>
          <w:rFonts w:ascii="Calibri" w:hAnsi="Calibri" w:eastAsia="宋体" w:cs="Times New Roman"/>
          <w:bCs/>
          <w:sz w:val="18"/>
          <w:szCs w:val="20"/>
        </w:rPr>
        <w:t>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经办人签名：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 xml:space="preserve">年   月   日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年   月  日</w:t>
      </w: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DD2"/>
    <w:rsid w:val="00026A1F"/>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2B15ED7"/>
    <w:rsid w:val="037819C8"/>
    <w:rsid w:val="04165086"/>
    <w:rsid w:val="0D6B27A0"/>
    <w:rsid w:val="0D737863"/>
    <w:rsid w:val="11D56F8A"/>
    <w:rsid w:val="157B401A"/>
    <w:rsid w:val="17453125"/>
    <w:rsid w:val="22723315"/>
    <w:rsid w:val="2BA52826"/>
    <w:rsid w:val="2D7F5632"/>
    <w:rsid w:val="2EB05F76"/>
    <w:rsid w:val="351B0D6F"/>
    <w:rsid w:val="3DB75172"/>
    <w:rsid w:val="405108FA"/>
    <w:rsid w:val="4136403A"/>
    <w:rsid w:val="41EF774F"/>
    <w:rsid w:val="449E2D2B"/>
    <w:rsid w:val="46094A05"/>
    <w:rsid w:val="460A3EB2"/>
    <w:rsid w:val="4B956476"/>
    <w:rsid w:val="4D3D3121"/>
    <w:rsid w:val="4DCB17F7"/>
    <w:rsid w:val="534B0A6F"/>
    <w:rsid w:val="53CA557A"/>
    <w:rsid w:val="547D6E0D"/>
    <w:rsid w:val="5DEC7787"/>
    <w:rsid w:val="698F00A6"/>
    <w:rsid w:val="6BF3478F"/>
    <w:rsid w:val="6DE10695"/>
    <w:rsid w:val="6E6658CD"/>
    <w:rsid w:val="711B411C"/>
    <w:rsid w:val="773504DF"/>
    <w:rsid w:val="7A192AA7"/>
    <w:rsid w:val="7E470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Emphasis"/>
    <w:qFormat/>
    <w:uiPriority w:val="20"/>
    <w:rPr>
      <w:i/>
      <w:iCs/>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customStyle="1" w:styleId="15">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6">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17">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9</Pages>
  <Words>5524</Words>
  <Characters>5701</Characters>
  <Lines>6</Lines>
  <Paragraphs>1</Paragraphs>
  <TotalTime>8</TotalTime>
  <ScaleCrop>false</ScaleCrop>
  <LinksUpToDate>false</LinksUpToDate>
  <CharactersWithSpaces>6210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Administrator</cp:lastModifiedBy>
  <dcterms:modified xsi:type="dcterms:W3CDTF">2022-04-22T08:27:44Z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2052-11.1.0.11636</vt:lpwstr>
  </property>
  <property fmtid="{D5CDD505-2E9C-101B-9397-08002B2CF9AE}" pid="4" name="ICV">
    <vt:lpwstr>99012001CC8449E1B44B4987A03F7E88</vt:lpwstr>
  </property>
</Properties>
</file>