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1"/>
          <w:rFonts w:asciiTheme="minorEastAsia" w:hAnsiTheme="minorEastAsia" w:cstheme="minorEastAsia"/>
          <w:bCs/>
          <w:sz w:val="32"/>
          <w:szCs w:val="32"/>
        </w:rPr>
      </w:pPr>
      <w:r>
        <w:rPr>
          <w:rStyle w:val="11"/>
          <w:rFonts w:hint="eastAsia" w:asciiTheme="minorEastAsia" w:hAnsiTheme="minorEastAsia" w:cstheme="minorEastAsia"/>
          <w:bCs/>
          <w:sz w:val="32"/>
          <w:szCs w:val="32"/>
        </w:rPr>
        <w:t>招标文件</w:t>
      </w:r>
    </w:p>
    <w:p>
      <w:pPr>
        <w:numPr>
          <w:ilvl w:val="0"/>
          <w:numId w:val="1"/>
        </w:numPr>
        <w:rPr>
          <w:rStyle w:val="11"/>
          <w:rFonts w:asciiTheme="minorEastAsia" w:hAnsiTheme="minorEastAsia" w:cstheme="minorEastAsia"/>
          <w:b w:val="0"/>
          <w:sz w:val="28"/>
          <w:szCs w:val="28"/>
        </w:rPr>
      </w:pPr>
      <w:r>
        <w:rPr>
          <w:rStyle w:val="11"/>
          <w:rFonts w:hint="eastAsia" w:asciiTheme="minorEastAsia" w:hAnsiTheme="minorEastAsia" w:cstheme="minorEastAsia"/>
          <w:b w:val="0"/>
          <w:sz w:val="28"/>
          <w:szCs w:val="28"/>
        </w:rPr>
        <w:t>项目基本情况</w:t>
      </w:r>
    </w:p>
    <w:p>
      <w:pPr>
        <w:pStyle w:val="6"/>
        <w:widowControl/>
        <w:spacing w:line="300" w:lineRule="atLeast"/>
        <w:rPr>
          <w:rFonts w:hint="eastAsia" w:asciiTheme="minorEastAsia" w:hAnsiTheme="minorEastAsia" w:cstheme="minorEastAsia"/>
          <w:kern w:val="2"/>
          <w:szCs w:val="24"/>
        </w:rPr>
      </w:pPr>
      <w:r>
        <w:rPr>
          <w:rFonts w:hint="eastAsia" w:asciiTheme="minorEastAsia" w:hAnsiTheme="minorEastAsia" w:cstheme="minorEastAsia"/>
          <w:kern w:val="2"/>
          <w:szCs w:val="24"/>
        </w:rPr>
        <w:t>项目编号：</w:t>
      </w:r>
      <w:r>
        <w:rPr>
          <w:rFonts w:hint="eastAsia" w:asciiTheme="minorEastAsia" w:hAnsiTheme="minorEastAsia" w:cstheme="minorEastAsia"/>
          <w:kern w:val="2"/>
          <w:szCs w:val="24"/>
          <w:lang w:val="en-US" w:eastAsia="zh-CN"/>
        </w:rPr>
        <w:t xml:space="preserve"> </w:t>
      </w:r>
      <w:r>
        <w:rPr>
          <w:rFonts w:hint="eastAsia" w:asciiTheme="minorEastAsia" w:hAnsiTheme="minorEastAsia" w:cstheme="minorEastAsia"/>
          <w:sz w:val="24"/>
          <w:szCs w:val="24"/>
          <w:vertAlign w:val="baseline"/>
          <w:lang w:val="en-US" w:eastAsia="zh-CN"/>
        </w:rPr>
        <w:t>2022-sb-cg-001</w:t>
      </w:r>
      <w:r>
        <w:rPr>
          <w:rFonts w:hint="eastAsia" w:asciiTheme="minorEastAsia" w:hAnsiTheme="minorEastAsia" w:cstheme="minorEastAsia"/>
          <w:kern w:val="2"/>
          <w:szCs w:val="24"/>
          <w:lang w:val="en-US" w:eastAsia="zh-CN"/>
        </w:rPr>
        <w:t xml:space="preserve">               </w:t>
      </w:r>
      <w:r>
        <w:rPr>
          <w:rFonts w:hint="eastAsia" w:asciiTheme="minorEastAsia" w:hAnsiTheme="minorEastAsia" w:cstheme="minorEastAsia"/>
          <w:kern w:val="2"/>
          <w:szCs w:val="24"/>
        </w:rPr>
        <w:t>项目名称：微波治疗仪</w:t>
      </w:r>
    </w:p>
    <w:p>
      <w:pPr>
        <w:pStyle w:val="6"/>
        <w:widowControl/>
        <w:spacing w:line="300" w:lineRule="atLeast"/>
        <w:rPr>
          <w:rFonts w:hint="default" w:asciiTheme="minorEastAsia" w:hAnsiTheme="minorEastAsia" w:cstheme="minorEastAsia"/>
          <w:kern w:val="2"/>
          <w:szCs w:val="24"/>
          <w:lang w:val="en-US" w:eastAsia="zh-CN"/>
        </w:rPr>
      </w:pPr>
      <w:r>
        <w:rPr>
          <w:rFonts w:hint="eastAsia" w:asciiTheme="minorEastAsia" w:hAnsiTheme="minorEastAsia" w:cstheme="minorEastAsia"/>
          <w:kern w:val="2"/>
          <w:szCs w:val="24"/>
        </w:rPr>
        <w:t>数量:</w:t>
      </w:r>
      <w:r>
        <w:rPr>
          <w:rFonts w:hint="eastAsia" w:asciiTheme="minorEastAsia" w:hAnsiTheme="minorEastAsia" w:cstheme="minorEastAsia"/>
          <w:kern w:val="2"/>
          <w:szCs w:val="24"/>
          <w:lang w:val="en-US" w:eastAsia="zh-CN"/>
        </w:rPr>
        <w:t xml:space="preserve"> 3台      预算单价（元）：5万</w:t>
      </w:r>
      <w:bookmarkStart w:id="0" w:name="_GoBack"/>
      <w:bookmarkEnd w:id="0"/>
      <w:r>
        <w:rPr>
          <w:rFonts w:hint="eastAsia" w:asciiTheme="minorEastAsia" w:hAnsiTheme="minorEastAsia" w:cstheme="minorEastAsia"/>
          <w:kern w:val="2"/>
          <w:szCs w:val="24"/>
          <w:lang w:val="en-US" w:eastAsia="zh-CN"/>
        </w:rPr>
        <w:t xml:space="preserve">元     </w:t>
      </w:r>
      <w:r>
        <w:rPr>
          <w:rFonts w:hint="eastAsia" w:asciiTheme="minorEastAsia" w:hAnsiTheme="minorEastAsia" w:cstheme="minorEastAsia"/>
          <w:kern w:val="2"/>
          <w:szCs w:val="24"/>
        </w:rPr>
        <w:t>预算总金额（元）:</w:t>
      </w:r>
      <w:r>
        <w:rPr>
          <w:rFonts w:hint="eastAsia" w:asciiTheme="minorEastAsia" w:hAnsiTheme="minorEastAsia" w:cstheme="minorEastAsia"/>
          <w:kern w:val="2"/>
          <w:szCs w:val="24"/>
          <w:lang w:val="en-US" w:eastAsia="zh-CN"/>
        </w:rPr>
        <w:t>15万元</w:t>
      </w:r>
    </w:p>
    <w:p>
      <w:pPr>
        <w:pStyle w:val="6"/>
        <w:widowControl/>
        <w:spacing w:line="300" w:lineRule="atLeast"/>
        <w:rPr>
          <w:rFonts w:hint="eastAsia" w:asciiTheme="minorEastAsia" w:hAnsiTheme="minorEastAsia" w:cstheme="minorEastAsia"/>
          <w:kern w:val="2"/>
          <w:szCs w:val="24"/>
        </w:rPr>
      </w:pPr>
      <w:r>
        <w:rPr>
          <w:rFonts w:hint="eastAsia" w:asciiTheme="minorEastAsia" w:hAnsiTheme="minorEastAsia" w:cstheme="minorEastAsia"/>
          <w:kern w:val="2"/>
          <w:szCs w:val="24"/>
        </w:rPr>
        <w:t>简要规格描述或项目基本概况介绍、用途：以反复间歇脉冲穿透人体组织，适合于较深部炎症的物理治疗。同时，虽然微波输出瞬间功率很高，但是平均功率却较低，不会灼伤皮肤。 </w:t>
      </w:r>
      <w:r>
        <w:rPr>
          <w:rFonts w:hint="eastAsia" w:asciiTheme="minorEastAsia" w:hAnsiTheme="minorEastAsia" w:cstheme="minorEastAsia"/>
          <w:kern w:val="2"/>
          <w:szCs w:val="24"/>
        </w:rPr>
        <w:br w:type="textWrapping"/>
      </w:r>
      <w:r>
        <w:rPr>
          <w:rFonts w:hint="eastAsia" w:asciiTheme="minorEastAsia" w:hAnsiTheme="minorEastAsia" w:cstheme="minorEastAsia"/>
          <w:kern w:val="2"/>
          <w:szCs w:val="24"/>
        </w:rPr>
        <w:t>备注：</w:t>
      </w:r>
      <w:r>
        <w:rPr>
          <w:rFonts w:hint="eastAsia" w:asciiTheme="minorEastAsia" w:hAnsiTheme="minorEastAsia" w:cstheme="minorEastAsia"/>
          <w:kern w:val="2"/>
          <w:szCs w:val="24"/>
          <w:lang w:val="en-US" w:eastAsia="zh-CN"/>
        </w:rPr>
        <w:t>国产</w:t>
      </w:r>
      <w:r>
        <w:rPr>
          <w:rFonts w:hint="eastAsia" w:asciiTheme="minorEastAsia" w:hAnsiTheme="minorEastAsia" w:cstheme="minorEastAsia"/>
          <w:kern w:val="2"/>
          <w:szCs w:val="24"/>
        </w:rPr>
        <w:t> </w:t>
      </w:r>
    </w:p>
    <w:p>
      <w:pPr>
        <w:rPr>
          <w:rFonts w:asciiTheme="minorEastAsia" w:hAnsiTheme="minorEastAsia" w:cstheme="minorEastAsia"/>
        </w:rPr>
      </w:pPr>
    </w:p>
    <w:p>
      <w:pPr>
        <w:numPr>
          <w:ilvl w:val="0"/>
          <w:numId w:val="1"/>
        </w:numPr>
        <w:rPr>
          <w:rStyle w:val="11"/>
          <w:rFonts w:asciiTheme="minorEastAsia" w:hAnsiTheme="minorEastAsia" w:cstheme="minorEastAsia"/>
          <w:b w:val="0"/>
          <w:sz w:val="32"/>
          <w:szCs w:val="32"/>
        </w:rPr>
      </w:pPr>
      <w:r>
        <w:rPr>
          <w:rStyle w:val="11"/>
          <w:rFonts w:hint="eastAsia" w:asciiTheme="minorEastAsia" w:hAnsiTheme="minorEastAsia" w:cstheme="minorEastAsia"/>
          <w:b w:val="0"/>
          <w:sz w:val="32"/>
          <w:szCs w:val="32"/>
        </w:rPr>
        <w:t>采购方式和定标原则</w:t>
      </w:r>
    </w:p>
    <w:p>
      <w:pPr>
        <w:rPr>
          <w:rFonts w:asciiTheme="minorEastAsia" w:hAnsiTheme="minorEastAsia" w:cstheme="minorEastAsia"/>
          <w:sz w:val="24"/>
          <w:szCs w:val="24"/>
        </w:rPr>
      </w:pPr>
      <w:r>
        <w:rPr>
          <w:rFonts w:hint="eastAsia" w:asciiTheme="minorEastAsia" w:hAnsiTheme="minorEastAsia" w:cstheme="minorEastAsia"/>
          <w:sz w:val="24"/>
          <w:szCs w:val="24"/>
        </w:rPr>
        <w:t>本项目我院采取院内组织公开招标的方式，以综合评分最高者中标的原则确定中标供应商。</w:t>
      </w:r>
    </w:p>
    <w:p>
      <w:pPr>
        <w:pStyle w:val="6"/>
        <w:widowControl/>
        <w:numPr>
          <w:ilvl w:val="0"/>
          <w:numId w:val="1"/>
        </w:numPr>
        <w:spacing w:before="255" w:beforeAutospacing="0" w:after="255" w:afterAutospacing="0" w:line="300" w:lineRule="atLeast"/>
        <w:jc w:val="both"/>
      </w:pPr>
      <w:r>
        <w:rPr>
          <w:rStyle w:val="11"/>
          <w:rFonts w:hint="eastAsia" w:eastAsia="宋体" w:asciiTheme="minorEastAsia" w:hAnsiTheme="minorEastAsia" w:cstheme="minorEastAsia"/>
          <w:b w:val="0"/>
          <w:kern w:val="2"/>
          <w:sz w:val="32"/>
          <w:szCs w:val="32"/>
        </w:rPr>
        <w:t>获取招标文件</w:t>
      </w:r>
    </w:p>
    <w:p>
      <w:pPr>
        <w:pStyle w:val="6"/>
        <w:widowControl/>
        <w:spacing w:before="255" w:beforeAutospacing="0" w:after="255" w:afterAutospacing="0" w:line="300" w:lineRule="atLeast"/>
        <w:ind w:firstLine="720" w:firstLineChars="300"/>
        <w:jc w:val="both"/>
        <w:rPr>
          <w:rFonts w:asciiTheme="minorEastAsia" w:hAnsiTheme="minorEastAsia" w:cstheme="minorEastAsia"/>
          <w:color w:val="auto"/>
          <w:kern w:val="2"/>
          <w:szCs w:val="24"/>
        </w:rPr>
      </w:pPr>
      <w:r>
        <w:rPr>
          <w:rFonts w:hint="eastAsia" w:asciiTheme="minorEastAsia" w:hAnsiTheme="minorEastAsia" w:cstheme="minorEastAsia"/>
          <w:kern w:val="2"/>
          <w:szCs w:val="24"/>
        </w:rPr>
        <w:t>时间：</w:t>
      </w:r>
      <w:r>
        <w:rPr>
          <w:rFonts w:hint="eastAsia" w:asciiTheme="minorEastAsia" w:hAnsiTheme="minorEastAsia" w:cstheme="minorEastAsia"/>
          <w:color w:val="auto"/>
          <w:kern w:val="2"/>
          <w:szCs w:val="24"/>
          <w:highlight w:val="none"/>
        </w:rPr>
        <w:t>/至2022年05月</w:t>
      </w:r>
      <w:r>
        <w:rPr>
          <w:rFonts w:hint="eastAsia" w:asciiTheme="minorEastAsia" w:hAnsiTheme="minorEastAsia" w:cstheme="minorEastAsia"/>
          <w:color w:val="auto"/>
          <w:kern w:val="2"/>
          <w:szCs w:val="24"/>
          <w:highlight w:val="none"/>
          <w:lang w:val="en-US" w:eastAsia="zh-CN"/>
        </w:rPr>
        <w:t>4</w:t>
      </w:r>
      <w:r>
        <w:rPr>
          <w:rFonts w:hint="eastAsia" w:asciiTheme="minorEastAsia" w:hAnsiTheme="minorEastAsia" w:cstheme="minorEastAsia"/>
          <w:color w:val="auto"/>
          <w:kern w:val="2"/>
          <w:szCs w:val="24"/>
          <w:highlight w:val="none"/>
        </w:rPr>
        <w:t>日 ，每天上午00:00至12:00 ，下午12:00至23:59（北京时间，线上获取法定节假日均可，线下获取文件法定节假日除外）</w:t>
      </w:r>
    </w:p>
    <w:p>
      <w:pPr>
        <w:pStyle w:val="6"/>
        <w:widowControl/>
        <w:spacing w:line="300" w:lineRule="atLeast"/>
        <w:ind w:firstLine="720"/>
        <w:rPr>
          <w:rFonts w:hint="eastAsia" w:asciiTheme="minorEastAsia" w:hAnsiTheme="minorEastAsia" w:eastAsiaTheme="minorEastAsia" w:cstheme="minorEastAsia"/>
          <w:kern w:val="2"/>
          <w:szCs w:val="24"/>
          <w:highlight w:val="yellow"/>
          <w:lang w:eastAsia="zh-CN"/>
        </w:rPr>
      </w:pPr>
      <w:r>
        <w:rPr>
          <w:rFonts w:hint="eastAsia" w:asciiTheme="minorEastAsia" w:hAnsiTheme="minorEastAsia" w:cstheme="minorEastAsia"/>
          <w:kern w:val="2"/>
          <w:szCs w:val="24"/>
        </w:rPr>
        <w:t>地点（网址）</w:t>
      </w:r>
      <w:r>
        <w:rPr>
          <w:rFonts w:hint="eastAsia" w:asciiTheme="minorEastAsia" w:hAnsiTheme="minorEastAsia" w:cstheme="minorEastAsia"/>
          <w:kern w:val="2"/>
          <w:szCs w:val="24"/>
          <w:lang w:eastAsia="zh-CN"/>
        </w:rPr>
        <w:t>：http://www.wzszyy.com/</w:t>
      </w:r>
    </w:p>
    <w:p>
      <w:pPr>
        <w:pStyle w:val="6"/>
        <w:widowControl/>
        <w:numPr>
          <w:ilvl w:val="0"/>
          <w:numId w:val="1"/>
        </w:numPr>
        <w:spacing w:before="255" w:beforeAutospacing="0" w:after="255" w:afterAutospacing="0" w:line="300" w:lineRule="atLeast"/>
        <w:jc w:val="both"/>
        <w:rPr>
          <w:rStyle w:val="11"/>
          <w:rFonts w:eastAsia="宋体" w:asciiTheme="minorEastAsia" w:hAnsiTheme="minorEastAsia" w:cstheme="minorEastAsia"/>
          <w:b w:val="0"/>
          <w:kern w:val="2"/>
          <w:sz w:val="32"/>
          <w:szCs w:val="32"/>
        </w:rPr>
      </w:pPr>
      <w:r>
        <w:rPr>
          <w:rStyle w:val="11"/>
          <w:rFonts w:hint="eastAsia" w:eastAsia="宋体" w:asciiTheme="minorEastAsia" w:hAnsiTheme="minorEastAsia" w:cstheme="minorEastAsia"/>
          <w:b w:val="0"/>
          <w:kern w:val="2"/>
          <w:sz w:val="32"/>
          <w:szCs w:val="32"/>
        </w:rPr>
        <w:t>提交投标文件截止时间、开标时间和地点</w:t>
      </w:r>
    </w:p>
    <w:p>
      <w:pPr>
        <w:pStyle w:val="6"/>
        <w:widowControl/>
        <w:spacing w:line="300" w:lineRule="atLeast"/>
        <w:rPr>
          <w:rFonts w:asciiTheme="minorEastAsia" w:hAnsiTheme="minorEastAsia" w:cstheme="minorEastAsia"/>
          <w:kern w:val="2"/>
          <w:szCs w:val="24"/>
        </w:rPr>
      </w:pPr>
      <w:r>
        <w:rPr>
          <w:rFonts w:hint="eastAsia" w:asciiTheme="minorEastAsia" w:hAnsiTheme="minorEastAsia" w:cstheme="minorEastAsia"/>
          <w:kern w:val="2"/>
          <w:szCs w:val="24"/>
        </w:rPr>
        <w:t>提交投标文件截止时间：2022年5月4日早上9：00</w:t>
      </w:r>
    </w:p>
    <w:p>
      <w:pPr>
        <w:pStyle w:val="6"/>
        <w:widowControl/>
        <w:spacing w:line="300" w:lineRule="atLeast"/>
        <w:rPr>
          <w:rFonts w:asciiTheme="minorEastAsia" w:hAnsiTheme="minorEastAsia" w:cstheme="minorEastAsia"/>
          <w:kern w:val="2"/>
          <w:szCs w:val="24"/>
        </w:rPr>
      </w:pPr>
      <w:r>
        <w:rPr>
          <w:rFonts w:hint="eastAsia" w:asciiTheme="minorEastAsia" w:hAnsiTheme="minorEastAsia" w:cstheme="minorEastAsia"/>
          <w:kern w:val="2"/>
          <w:szCs w:val="24"/>
        </w:rPr>
        <w:t>开标时间：2022年5月4日早上9：00</w:t>
      </w:r>
    </w:p>
    <w:p>
      <w:pPr>
        <w:pStyle w:val="6"/>
        <w:widowControl/>
        <w:spacing w:line="300" w:lineRule="atLeast"/>
        <w:rPr>
          <w:rFonts w:hint="default" w:asciiTheme="minorEastAsia" w:hAnsiTheme="minorEastAsia" w:eastAsiaTheme="minorEastAsia" w:cstheme="minorEastAsia"/>
          <w:kern w:val="2"/>
          <w:szCs w:val="24"/>
          <w:lang w:val="en-US" w:eastAsia="zh-CN"/>
        </w:rPr>
      </w:pPr>
      <w:r>
        <w:rPr>
          <w:rFonts w:hint="eastAsia" w:asciiTheme="minorEastAsia" w:hAnsiTheme="minorEastAsia" w:cstheme="minorEastAsia"/>
          <w:kern w:val="2"/>
          <w:szCs w:val="24"/>
        </w:rPr>
        <w:t>开标地点</w:t>
      </w:r>
      <w:r>
        <w:rPr>
          <w:rFonts w:hint="eastAsia" w:asciiTheme="minorEastAsia" w:hAnsiTheme="minorEastAsia" w:cstheme="minorEastAsia"/>
          <w:kern w:val="2"/>
          <w:szCs w:val="24"/>
          <w:lang w:eastAsia="zh-CN"/>
        </w:rPr>
        <w:t>：</w:t>
      </w:r>
      <w:r>
        <w:rPr>
          <w:rFonts w:hint="eastAsia" w:asciiTheme="minorEastAsia" w:hAnsiTheme="minorEastAsia" w:cstheme="minorEastAsia"/>
          <w:kern w:val="2"/>
          <w:szCs w:val="24"/>
          <w:lang w:val="en-US" w:eastAsia="zh-CN"/>
        </w:rPr>
        <w:t>温州市中医院行政楼3楼309会议室</w:t>
      </w:r>
    </w:p>
    <w:p>
      <w:pPr>
        <w:pStyle w:val="6"/>
        <w:widowControl/>
        <w:numPr>
          <w:ilvl w:val="0"/>
          <w:numId w:val="1"/>
        </w:numPr>
        <w:spacing w:before="255" w:beforeAutospacing="0" w:after="255" w:afterAutospacing="0" w:line="300" w:lineRule="atLeast"/>
        <w:jc w:val="both"/>
        <w:rPr>
          <w:rStyle w:val="11"/>
          <w:rFonts w:eastAsia="宋体" w:asciiTheme="minorEastAsia" w:hAnsiTheme="minorEastAsia" w:cstheme="minorEastAsia"/>
          <w:b w:val="0"/>
          <w:kern w:val="2"/>
          <w:sz w:val="32"/>
          <w:szCs w:val="32"/>
        </w:rPr>
      </w:pPr>
      <w:r>
        <w:rPr>
          <w:rStyle w:val="11"/>
          <w:rFonts w:hint="eastAsia" w:eastAsia="宋体" w:asciiTheme="minorEastAsia" w:hAnsiTheme="minorEastAsia" w:cstheme="minorEastAsia"/>
          <w:b w:val="0"/>
          <w:kern w:val="2"/>
          <w:sz w:val="32"/>
          <w:szCs w:val="32"/>
        </w:rPr>
        <w:t>公告期限 </w:t>
      </w:r>
    </w:p>
    <w:p>
      <w:pPr>
        <w:pStyle w:val="6"/>
        <w:widowControl/>
        <w:rPr>
          <w:rFonts w:asciiTheme="minorEastAsia" w:hAnsiTheme="minorEastAsia" w:cstheme="minorEastAsia"/>
          <w:kern w:val="2"/>
          <w:szCs w:val="24"/>
        </w:rPr>
      </w:pPr>
      <w:r>
        <w:rPr>
          <w:rFonts w:hint="eastAsia" w:asciiTheme="minorEastAsia" w:hAnsiTheme="minorEastAsia" w:cstheme="minorEastAsia"/>
          <w:kern w:val="2"/>
          <w:szCs w:val="24"/>
        </w:rPr>
        <w:t>自本公告发布之日起5个工作日。</w:t>
      </w:r>
    </w:p>
    <w:p>
      <w:pPr>
        <w:numPr>
          <w:ilvl w:val="0"/>
          <w:numId w:val="1"/>
        </w:numPr>
        <w:rPr>
          <w:rStyle w:val="11"/>
          <w:rFonts w:eastAsia="宋体" w:asciiTheme="minorEastAsia" w:hAnsiTheme="minorEastAsia" w:cstheme="minorEastAsia"/>
          <w:b w:val="0"/>
          <w:sz w:val="32"/>
          <w:szCs w:val="32"/>
        </w:rPr>
      </w:pPr>
      <w:r>
        <w:rPr>
          <w:rStyle w:val="11"/>
          <w:rFonts w:hint="eastAsia" w:eastAsia="宋体" w:asciiTheme="minorEastAsia" w:hAnsiTheme="minorEastAsia" w:cstheme="minorEastAsia"/>
          <w:b w:val="0"/>
          <w:sz w:val="32"/>
          <w:szCs w:val="32"/>
        </w:rPr>
        <w:t>投标文件要求</w:t>
      </w:r>
    </w:p>
    <w:p>
      <w:pPr>
        <w:rPr>
          <w:rFonts w:asciiTheme="minorEastAsia" w:hAnsiTheme="minorEastAsia" w:cstheme="minorEastAsia"/>
          <w:sz w:val="24"/>
          <w:szCs w:val="24"/>
        </w:rPr>
      </w:pPr>
      <w:r>
        <w:rPr>
          <w:rFonts w:hint="eastAsia" w:asciiTheme="minorEastAsia" w:hAnsiTheme="minorEastAsia" w:cstheme="minorEastAsia"/>
          <w:sz w:val="24"/>
          <w:szCs w:val="24"/>
        </w:rPr>
        <w:t>1.厂家三证</w:t>
      </w:r>
    </w:p>
    <w:p>
      <w:pPr>
        <w:rPr>
          <w:rFonts w:asciiTheme="minorEastAsia" w:hAnsiTheme="minorEastAsia" w:cstheme="minorEastAsia"/>
          <w:sz w:val="24"/>
          <w:szCs w:val="24"/>
        </w:rPr>
      </w:pPr>
      <w:r>
        <w:rPr>
          <w:rFonts w:hint="eastAsia" w:asciiTheme="minorEastAsia" w:hAnsiTheme="minorEastAsia" w:cstheme="minorEastAsia"/>
          <w:sz w:val="24"/>
          <w:szCs w:val="24"/>
        </w:rPr>
        <w:t>2.所投产品注册证</w:t>
      </w:r>
    </w:p>
    <w:p>
      <w:pPr>
        <w:rPr>
          <w:rFonts w:asciiTheme="minorEastAsia" w:hAnsiTheme="minorEastAsia" w:cstheme="minorEastAsia"/>
          <w:sz w:val="24"/>
          <w:szCs w:val="24"/>
        </w:rPr>
      </w:pPr>
      <w:r>
        <w:rPr>
          <w:rFonts w:hint="eastAsia" w:asciiTheme="minorEastAsia" w:hAnsiTheme="minorEastAsia" w:cstheme="minorEastAsia"/>
          <w:sz w:val="24"/>
          <w:szCs w:val="24"/>
        </w:rPr>
        <w:t>3.厂家、供应商授权文件</w:t>
      </w:r>
    </w:p>
    <w:p>
      <w:pPr>
        <w:rPr>
          <w:rFonts w:asciiTheme="minorEastAsia" w:hAnsiTheme="minorEastAsia" w:cstheme="minorEastAsia"/>
          <w:sz w:val="24"/>
          <w:szCs w:val="24"/>
        </w:rPr>
      </w:pPr>
      <w:r>
        <w:rPr>
          <w:rFonts w:hint="eastAsia" w:asciiTheme="minorEastAsia" w:hAnsiTheme="minorEastAsia" w:cstheme="minorEastAsia"/>
          <w:sz w:val="24"/>
          <w:szCs w:val="24"/>
        </w:rPr>
        <w:t>4.彩页资料</w:t>
      </w:r>
    </w:p>
    <w:p>
      <w:pPr>
        <w:rPr>
          <w:rFonts w:asciiTheme="minorEastAsia" w:hAnsiTheme="minorEastAsia" w:cstheme="minorEastAsia"/>
          <w:sz w:val="24"/>
          <w:szCs w:val="24"/>
        </w:rPr>
      </w:pPr>
      <w:r>
        <w:rPr>
          <w:rFonts w:hint="eastAsia" w:asciiTheme="minorEastAsia" w:hAnsiTheme="minorEastAsia" w:cstheme="minorEastAsia"/>
          <w:sz w:val="24"/>
          <w:szCs w:val="24"/>
        </w:rPr>
        <w:t>5.技术参数偏离表</w:t>
      </w:r>
    </w:p>
    <w:p>
      <w:pPr>
        <w:rPr>
          <w:rFonts w:asciiTheme="minorEastAsia" w:hAnsiTheme="minorEastAsia" w:cstheme="minorEastAsia"/>
          <w:sz w:val="24"/>
          <w:szCs w:val="24"/>
        </w:rPr>
      </w:pPr>
      <w:r>
        <w:rPr>
          <w:rFonts w:hint="eastAsia" w:asciiTheme="minorEastAsia" w:hAnsiTheme="minorEastAsia" w:cstheme="minorEastAsia"/>
          <w:sz w:val="24"/>
          <w:szCs w:val="24"/>
        </w:rPr>
        <w:t>6.配置清单及分项报价</w:t>
      </w:r>
    </w:p>
    <w:p>
      <w:pPr>
        <w:rPr>
          <w:rFonts w:asciiTheme="minorEastAsia" w:hAnsiTheme="minorEastAsia" w:cstheme="minorEastAsia"/>
          <w:sz w:val="24"/>
          <w:szCs w:val="24"/>
        </w:rPr>
      </w:pPr>
      <w:r>
        <w:rPr>
          <w:rFonts w:hint="eastAsia" w:asciiTheme="minorEastAsia" w:hAnsiTheme="minorEastAsia" w:cstheme="minorEastAsia"/>
          <w:sz w:val="24"/>
          <w:szCs w:val="24"/>
        </w:rPr>
        <w:t>7.售后服务承诺；主要临配件更换价格</w:t>
      </w:r>
    </w:p>
    <w:p>
      <w:pPr>
        <w:rPr>
          <w:rFonts w:asciiTheme="minorEastAsia" w:hAnsiTheme="minorEastAsia" w:cstheme="minorEastAsia"/>
          <w:sz w:val="24"/>
          <w:szCs w:val="24"/>
        </w:rPr>
      </w:pPr>
      <w:r>
        <w:rPr>
          <w:rFonts w:hint="eastAsia" w:asciiTheme="minorEastAsia" w:hAnsiTheme="minorEastAsia" w:cstheme="minorEastAsia"/>
          <w:sz w:val="24"/>
          <w:szCs w:val="24"/>
        </w:rPr>
        <w:t>8.市场占有率（提供近三年内浙江省内医院的合同完整复印件）</w:t>
      </w:r>
    </w:p>
    <w:p>
      <w:pPr>
        <w:rPr>
          <w:rFonts w:asciiTheme="minorEastAsia" w:hAnsiTheme="minorEastAsia" w:cstheme="minorEastAsia"/>
          <w:sz w:val="24"/>
          <w:szCs w:val="24"/>
        </w:rPr>
      </w:pPr>
      <w:r>
        <w:rPr>
          <w:rFonts w:hint="eastAsia" w:asciiTheme="minorEastAsia" w:hAnsiTheme="minorEastAsia" w:cstheme="minorEastAsia"/>
          <w:sz w:val="24"/>
          <w:szCs w:val="24"/>
        </w:rPr>
        <w:t>9.公司认为有必要提供的文件</w:t>
      </w:r>
    </w:p>
    <w:p>
      <w:pPr>
        <w:rPr>
          <w:rFonts w:asciiTheme="minorEastAsia" w:hAnsiTheme="minorEastAsia" w:cstheme="minorEastAsia"/>
          <w:sz w:val="24"/>
          <w:szCs w:val="24"/>
        </w:rPr>
      </w:pPr>
    </w:p>
    <w:p>
      <w:pPr>
        <w:numPr>
          <w:ilvl w:val="0"/>
          <w:numId w:val="1"/>
        </w:numPr>
        <w:rPr>
          <w:rStyle w:val="11"/>
          <w:rFonts w:eastAsia="宋体" w:asciiTheme="minorEastAsia" w:hAnsiTheme="minorEastAsia" w:cstheme="minorEastAsia"/>
          <w:b w:val="0"/>
          <w:sz w:val="32"/>
          <w:szCs w:val="32"/>
        </w:rPr>
      </w:pPr>
      <w:r>
        <w:rPr>
          <w:rStyle w:val="11"/>
          <w:rFonts w:hint="eastAsia" w:eastAsia="宋体" w:asciiTheme="minorEastAsia" w:hAnsiTheme="minorEastAsia" w:cstheme="minorEastAsia"/>
          <w:b w:val="0"/>
          <w:sz w:val="32"/>
          <w:szCs w:val="32"/>
        </w:rPr>
        <w:t>商务、技术参数偏离表</w:t>
      </w:r>
    </w:p>
    <w:p>
      <w:pPr>
        <w:rPr>
          <w:rFonts w:asciiTheme="minorEastAsia" w:hAnsiTheme="minorEastAsia" w:cstheme="minorEastAsia"/>
          <w:sz w:val="24"/>
          <w:szCs w:val="24"/>
        </w:rPr>
      </w:pPr>
    </w:p>
    <w:tbl>
      <w:tblPr>
        <w:tblStyle w:val="9"/>
        <w:tblpPr w:leftFromText="180" w:rightFromText="180" w:vertAnchor="page" w:horzAnchor="page" w:tblpXSpec="center" w:tblpY="3271"/>
        <w:tblOverlap w:val="never"/>
        <w:tblW w:w="49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6825"/>
        <w:gridCol w:w="1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00" w:type="pct"/>
          </w:tcPr>
          <w:p>
            <w:pPr>
              <w:jc w:val="left"/>
              <w:rPr>
                <w:rFonts w:hint="eastAsia" w:asciiTheme="minorEastAsia" w:hAnsiTheme="minorEastAsia" w:eastAsiaTheme="minorEastAsia"/>
                <w:kern w:val="0"/>
                <w:sz w:val="20"/>
                <w:szCs w:val="20"/>
                <w:lang w:val="en-US" w:eastAsia="zh-CN"/>
              </w:rPr>
            </w:pPr>
            <w:r>
              <w:rPr>
                <w:rFonts w:hint="eastAsia" w:asciiTheme="minorEastAsia" w:hAnsiTheme="minorEastAsia"/>
                <w:kern w:val="0"/>
                <w:sz w:val="20"/>
                <w:szCs w:val="20"/>
                <w:lang w:val="en-US" w:eastAsia="zh-CN"/>
              </w:rPr>
              <w:t>序号</w:t>
            </w:r>
          </w:p>
        </w:tc>
        <w:tc>
          <w:tcPr>
            <w:tcW w:w="3689" w:type="pct"/>
          </w:tcPr>
          <w:p>
            <w:pPr>
              <w:jc w:val="center"/>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商务、技术</w:t>
            </w:r>
            <w:r>
              <w:rPr>
                <w:rFonts w:hint="eastAsia" w:asciiTheme="minorEastAsia" w:hAnsiTheme="minorEastAsia" w:eastAsiaTheme="minorEastAsia" w:cstheme="minorEastAsia"/>
                <w:b/>
                <w:kern w:val="0"/>
                <w:sz w:val="24"/>
                <w:szCs w:val="24"/>
                <w:lang w:val="en-US" w:eastAsia="zh-CN"/>
              </w:rPr>
              <w:t>规格</w:t>
            </w:r>
            <w:r>
              <w:rPr>
                <w:rFonts w:hint="eastAsia" w:asciiTheme="minorEastAsia" w:hAnsiTheme="minorEastAsia" w:eastAsiaTheme="minorEastAsia" w:cstheme="minorEastAsia"/>
                <w:b/>
                <w:kern w:val="0"/>
                <w:sz w:val="24"/>
                <w:szCs w:val="24"/>
              </w:rPr>
              <w:t>要求</w:t>
            </w:r>
          </w:p>
        </w:tc>
        <w:tc>
          <w:tcPr>
            <w:tcW w:w="910" w:type="pct"/>
          </w:tcPr>
          <w:p>
            <w:pPr>
              <w:rPr>
                <w:rFonts w:hint="eastAsia" w:asciiTheme="minorEastAsia" w:hAnsiTheme="minorEastAsia" w:eastAsiaTheme="minorEastAsia" w:cstheme="minorEastAsia"/>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400" w:type="pct"/>
          </w:tcPr>
          <w:p>
            <w:pPr>
              <w:jc w:val="left"/>
              <w:rPr>
                <w:rFonts w:asciiTheme="minorEastAsia" w:hAnsiTheme="minorEastAsia"/>
                <w:kern w:val="0"/>
                <w:sz w:val="20"/>
                <w:szCs w:val="20"/>
              </w:rPr>
            </w:pPr>
          </w:p>
        </w:tc>
        <w:tc>
          <w:tcPr>
            <w:tcW w:w="3689" w:type="pct"/>
          </w:tcPr>
          <w:p>
            <w:pP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b/>
                <w:color w:val="auto"/>
                <w:kern w:val="0"/>
                <w:sz w:val="24"/>
                <w:szCs w:val="24"/>
              </w:rPr>
              <w:t>微波治疗仪</w:t>
            </w:r>
          </w:p>
        </w:tc>
        <w:tc>
          <w:tcPr>
            <w:tcW w:w="910" w:type="pct"/>
          </w:tcPr>
          <w:p>
            <w:pPr>
              <w:rPr>
                <w:rFonts w:hint="eastAsia" w:asciiTheme="minorEastAsia" w:hAnsiTheme="minorEastAsia" w:eastAsiaTheme="minorEastAsia" w:cstheme="minorEastAsia"/>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00" w:type="pct"/>
          </w:tcPr>
          <w:p>
            <w:pPr>
              <w:rPr>
                <w:kern w:val="0"/>
                <w:sz w:val="20"/>
                <w:szCs w:val="20"/>
              </w:rPr>
            </w:pPr>
            <w:r>
              <w:rPr>
                <w:rFonts w:hint="eastAsia" w:asciiTheme="minorEastAsia" w:hAnsiTheme="minorEastAsia"/>
                <w:kern w:val="0"/>
                <w:sz w:val="20"/>
                <w:szCs w:val="20"/>
              </w:rPr>
              <w:t>一</w:t>
            </w:r>
          </w:p>
        </w:tc>
        <w:tc>
          <w:tcPr>
            <w:tcW w:w="3689" w:type="pct"/>
          </w:tcPr>
          <w:p>
            <w:pPr>
              <w:spacing w:line="36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技术参数</w:t>
            </w:r>
          </w:p>
        </w:tc>
        <w:tc>
          <w:tcPr>
            <w:tcW w:w="910" w:type="pct"/>
          </w:tcPr>
          <w:p>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Pr>
          <w:p>
            <w:pPr>
              <w:rPr>
                <w:kern w:val="0"/>
                <w:sz w:val="20"/>
                <w:szCs w:val="20"/>
              </w:rPr>
            </w:pPr>
            <w:r>
              <w:rPr>
                <w:rFonts w:hint="eastAsia"/>
                <w:kern w:val="0"/>
                <w:sz w:val="20"/>
                <w:szCs w:val="20"/>
              </w:rPr>
              <w:t>1</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功能：以反复间歇脉冲穿透人体组织，适合于较深部炎症的物理治疗。同时，虽然微波输出瞬间功率很高，但是平均功率却较低，不会灼伤皮肤。</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Pr>
          <w:p>
            <w:pPr>
              <w:rPr>
                <w:kern w:val="0"/>
                <w:sz w:val="20"/>
                <w:szCs w:val="20"/>
              </w:rPr>
            </w:pPr>
            <w:r>
              <w:rPr>
                <w:rFonts w:hint="eastAsia"/>
                <w:kern w:val="0"/>
                <w:sz w:val="20"/>
                <w:szCs w:val="20"/>
              </w:rPr>
              <w:t>2</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电源要求：AC220V±10%，50Hz</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Pr>
          <w:p>
            <w:pPr>
              <w:rPr>
                <w:kern w:val="0"/>
                <w:sz w:val="20"/>
                <w:szCs w:val="20"/>
              </w:rPr>
            </w:pPr>
            <w:r>
              <w:rPr>
                <w:rFonts w:hint="eastAsia"/>
                <w:kern w:val="0"/>
                <w:sz w:val="20"/>
                <w:szCs w:val="20"/>
              </w:rPr>
              <w:t>3</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微波频率：2450MHz±20MHz</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Pr>
          <w:p>
            <w:pPr>
              <w:rPr>
                <w:kern w:val="0"/>
                <w:sz w:val="20"/>
                <w:szCs w:val="20"/>
              </w:rPr>
            </w:pPr>
            <w:r>
              <w:rPr>
                <w:rFonts w:hint="eastAsia"/>
                <w:kern w:val="0"/>
                <w:sz w:val="20"/>
                <w:szCs w:val="20"/>
              </w:rPr>
              <w:t>4</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输出功率：0～150W（连续可调）</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Pr>
          <w:p>
            <w:pPr>
              <w:rPr>
                <w:kern w:val="0"/>
                <w:sz w:val="20"/>
                <w:szCs w:val="20"/>
              </w:rPr>
            </w:pPr>
            <w:r>
              <w:rPr>
                <w:rFonts w:hint="eastAsia"/>
                <w:kern w:val="0"/>
                <w:sz w:val="20"/>
                <w:szCs w:val="20"/>
              </w:rPr>
              <w:t>5</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工作方式：连续输出、脉冲输出和凝固模式</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Pr>
          <w:p>
            <w:pPr>
              <w:rPr>
                <w:kern w:val="0"/>
                <w:sz w:val="20"/>
                <w:szCs w:val="20"/>
              </w:rPr>
            </w:pPr>
            <w:r>
              <w:rPr>
                <w:rFonts w:hint="eastAsia"/>
                <w:kern w:val="0"/>
                <w:sz w:val="20"/>
                <w:szCs w:val="20"/>
              </w:rPr>
              <w:t>6</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脉冲：0~150W（可调）</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Pr>
          <w:p>
            <w:pPr>
              <w:rPr>
                <w:kern w:val="0"/>
                <w:sz w:val="20"/>
                <w:szCs w:val="20"/>
              </w:rPr>
            </w:pPr>
            <w:r>
              <w:rPr>
                <w:rFonts w:hint="eastAsia"/>
                <w:kern w:val="0"/>
                <w:sz w:val="20"/>
                <w:szCs w:val="20"/>
              </w:rPr>
              <w:t>7</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治疗时间：0~99分钟/秒（可调）</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6" w:hRule="atLeast"/>
          <w:jc w:val="center"/>
        </w:trPr>
        <w:tc>
          <w:tcPr>
            <w:tcW w:w="400" w:type="pct"/>
          </w:tcPr>
          <w:p>
            <w:pPr>
              <w:rPr>
                <w:kern w:val="0"/>
                <w:sz w:val="20"/>
                <w:szCs w:val="20"/>
              </w:rPr>
            </w:pPr>
            <w:r>
              <w:rPr>
                <w:rFonts w:hint="eastAsia"/>
                <w:kern w:val="0"/>
                <w:sz w:val="20"/>
                <w:szCs w:val="20"/>
              </w:rPr>
              <w:t>8</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微波泄漏：小于10mW/cm2</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rPr>
                <w:kern w:val="0"/>
                <w:sz w:val="20"/>
                <w:szCs w:val="20"/>
              </w:rPr>
            </w:pPr>
            <w:r>
              <w:rPr>
                <w:rFonts w:hint="eastAsia"/>
                <w:kern w:val="0"/>
                <w:sz w:val="20"/>
                <w:szCs w:val="20"/>
              </w:rPr>
              <w:t>9</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安全等级：国家医用电器3类标准</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rPr>
                <w:kern w:val="0"/>
                <w:sz w:val="20"/>
                <w:szCs w:val="20"/>
              </w:rPr>
            </w:pPr>
            <w:r>
              <w:rPr>
                <w:rFonts w:hint="eastAsia"/>
                <w:kern w:val="0"/>
                <w:sz w:val="20"/>
                <w:szCs w:val="20"/>
              </w:rPr>
              <w:t>10</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微波发射管：进口无需预热型</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rPr>
                <w:kern w:val="0"/>
                <w:sz w:val="20"/>
                <w:szCs w:val="20"/>
              </w:rPr>
            </w:pPr>
            <w:r>
              <w:rPr>
                <w:rFonts w:hint="eastAsia"/>
                <w:kern w:val="0"/>
                <w:sz w:val="20"/>
                <w:szCs w:val="20"/>
              </w:rPr>
              <w:t>11</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多种探头</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rPr>
                <w:kern w:val="0"/>
                <w:sz w:val="20"/>
                <w:szCs w:val="20"/>
              </w:rPr>
            </w:pPr>
            <w:r>
              <w:rPr>
                <w:rFonts w:hint="eastAsia"/>
                <w:kern w:val="0"/>
                <w:sz w:val="20"/>
                <w:szCs w:val="20"/>
              </w:rPr>
              <w:t>12</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kern w:val="0"/>
                <w:sz w:val="24"/>
                <w:szCs w:val="24"/>
              </w:rPr>
              <w:t>发射管质保八年</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rPr>
                <w:kern w:val="0"/>
                <w:sz w:val="20"/>
                <w:szCs w:val="20"/>
              </w:rPr>
            </w:pPr>
            <w:r>
              <w:rPr>
                <w:rFonts w:hint="eastAsia"/>
                <w:kern w:val="0"/>
                <w:sz w:val="20"/>
                <w:szCs w:val="20"/>
              </w:rPr>
              <w:t>13</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kern w:val="0"/>
                <w:sz w:val="24"/>
                <w:szCs w:val="24"/>
              </w:rPr>
              <w:t>中国医疗器械质量认证中心CMD认证</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rPr>
                <w:kern w:val="0"/>
                <w:sz w:val="20"/>
                <w:szCs w:val="20"/>
              </w:rPr>
            </w:pPr>
            <w:r>
              <w:rPr>
                <w:rFonts w:hint="eastAsia"/>
                <w:kern w:val="0"/>
                <w:sz w:val="20"/>
                <w:szCs w:val="20"/>
              </w:rPr>
              <w:t>21</w:t>
            </w:r>
          </w:p>
        </w:tc>
        <w:tc>
          <w:tcPr>
            <w:tcW w:w="3689" w:type="pct"/>
          </w:tcPr>
          <w:p>
            <w:pPr>
              <w:rPr>
                <w:rFonts w:hint="eastAsia" w:asciiTheme="minorEastAsia" w:hAnsiTheme="minorEastAsia" w:eastAsiaTheme="minorEastAsia" w:cstheme="minorEastAsia"/>
                <w:color w:val="auto"/>
                <w:kern w:val="0"/>
                <w:sz w:val="24"/>
                <w:szCs w:val="24"/>
                <w:highlight w:val="yellow"/>
              </w:rPr>
            </w:pPr>
            <w:r>
              <w:rPr>
                <w:rFonts w:hint="eastAsia" w:asciiTheme="minorEastAsia" w:hAnsiTheme="minorEastAsia" w:eastAsiaTheme="minorEastAsia" w:cstheme="minorEastAsia"/>
                <w:color w:val="auto"/>
                <w:sz w:val="24"/>
                <w:szCs w:val="24"/>
              </w:rPr>
              <w:t>进口高品质磁控管可保证脉冲模式的正常运行。</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rPr>
                <w:rFonts w:hint="eastAsia"/>
                <w:kern w:val="0"/>
                <w:sz w:val="20"/>
                <w:szCs w:val="20"/>
              </w:rPr>
            </w:pPr>
          </w:p>
        </w:tc>
        <w:tc>
          <w:tcPr>
            <w:tcW w:w="3689" w:type="pct"/>
          </w:tcPr>
          <w:p>
            <w:pPr>
              <w:rPr>
                <w:rFonts w:hint="eastAsia" w:asciiTheme="minorEastAsia" w:hAnsiTheme="minorEastAsia" w:eastAsiaTheme="minorEastAsia" w:cstheme="minorEastAsia"/>
                <w:sz w:val="24"/>
                <w:szCs w:val="24"/>
              </w:rPr>
            </w:pP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00" w:type="pct"/>
          </w:tcPr>
          <w:p>
            <w:pPr>
              <w:rPr>
                <w:kern w:val="0"/>
                <w:sz w:val="20"/>
                <w:szCs w:val="20"/>
              </w:rPr>
            </w:pPr>
            <w:r>
              <w:rPr>
                <w:rFonts w:hint="eastAsia"/>
                <w:kern w:val="0"/>
                <w:sz w:val="20"/>
                <w:szCs w:val="20"/>
              </w:rPr>
              <w:t>二</w:t>
            </w:r>
          </w:p>
        </w:tc>
        <w:tc>
          <w:tcPr>
            <w:tcW w:w="368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其他</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jc w:val="left"/>
              <w:rPr>
                <w:kern w:val="0"/>
                <w:sz w:val="20"/>
                <w:szCs w:val="20"/>
              </w:rPr>
            </w:pPr>
            <w:r>
              <w:rPr>
                <w:rFonts w:hint="eastAsia"/>
                <w:kern w:val="0"/>
                <w:sz w:val="20"/>
                <w:szCs w:val="20"/>
              </w:rPr>
              <w:t>1</w:t>
            </w:r>
          </w:p>
        </w:tc>
        <w:tc>
          <w:tcPr>
            <w:tcW w:w="368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投标商应提供各种规格消耗品的医院购买价格清单；</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jc w:val="left"/>
              <w:rPr>
                <w:kern w:val="0"/>
                <w:sz w:val="20"/>
                <w:szCs w:val="20"/>
              </w:rPr>
            </w:pPr>
            <w:r>
              <w:rPr>
                <w:rFonts w:hint="eastAsia"/>
                <w:kern w:val="0"/>
                <w:sz w:val="20"/>
                <w:szCs w:val="20"/>
              </w:rPr>
              <w:t>2</w:t>
            </w:r>
          </w:p>
        </w:tc>
        <w:tc>
          <w:tcPr>
            <w:tcW w:w="368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厂家承诺提供设备免费保修期（含消耗品、易损品、维修配件、人工服务等）≥ 3年。提供过保后年保价格</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jc w:val="left"/>
              <w:rPr>
                <w:kern w:val="0"/>
                <w:sz w:val="20"/>
                <w:szCs w:val="20"/>
              </w:rPr>
            </w:pPr>
            <w:r>
              <w:rPr>
                <w:rFonts w:hint="eastAsia"/>
                <w:kern w:val="0"/>
                <w:sz w:val="20"/>
                <w:szCs w:val="20"/>
              </w:rPr>
              <w:t>3</w:t>
            </w:r>
          </w:p>
        </w:tc>
        <w:tc>
          <w:tcPr>
            <w:tcW w:w="368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操作手册、维修手册：提供操作手册、维修手册各一套</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00" w:type="pct"/>
          </w:tcPr>
          <w:p>
            <w:pPr>
              <w:jc w:val="left"/>
              <w:rPr>
                <w:kern w:val="0"/>
                <w:sz w:val="20"/>
                <w:szCs w:val="20"/>
              </w:rPr>
            </w:pPr>
            <w:r>
              <w:rPr>
                <w:rFonts w:hint="eastAsia"/>
                <w:kern w:val="0"/>
                <w:sz w:val="20"/>
                <w:szCs w:val="20"/>
              </w:rPr>
              <w:t>4</w:t>
            </w:r>
          </w:p>
        </w:tc>
        <w:tc>
          <w:tcPr>
            <w:tcW w:w="368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培训：提供临床应用操作培训,并提供临床资料(培训ppt、考核试题)</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Pr>
          <w:p>
            <w:pPr>
              <w:jc w:val="left"/>
              <w:rPr>
                <w:kern w:val="0"/>
                <w:sz w:val="20"/>
                <w:szCs w:val="20"/>
              </w:rPr>
            </w:pPr>
            <w:r>
              <w:rPr>
                <w:rFonts w:hint="eastAsia"/>
                <w:kern w:val="0"/>
                <w:sz w:val="20"/>
                <w:szCs w:val="20"/>
              </w:rPr>
              <w:t>5</w:t>
            </w:r>
          </w:p>
        </w:tc>
        <w:tc>
          <w:tcPr>
            <w:tcW w:w="368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软件终身免费升级</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00" w:type="pct"/>
          </w:tcPr>
          <w:p>
            <w:pPr>
              <w:jc w:val="left"/>
              <w:rPr>
                <w:kern w:val="0"/>
                <w:sz w:val="20"/>
                <w:szCs w:val="20"/>
              </w:rPr>
            </w:pPr>
            <w:r>
              <w:rPr>
                <w:rFonts w:hint="eastAsia"/>
                <w:kern w:val="0"/>
                <w:sz w:val="20"/>
                <w:szCs w:val="20"/>
              </w:rPr>
              <w:t>6</w:t>
            </w:r>
          </w:p>
        </w:tc>
        <w:tc>
          <w:tcPr>
            <w:tcW w:w="368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付款方式:验收合格后90工作日内付款，投标商开具单张发票限额必须大于投标单台设备价格</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00" w:type="pct"/>
          </w:tcPr>
          <w:p>
            <w:pPr>
              <w:jc w:val="left"/>
              <w:rPr>
                <w:kern w:val="0"/>
                <w:sz w:val="20"/>
                <w:szCs w:val="20"/>
              </w:rPr>
            </w:pPr>
            <w:r>
              <w:rPr>
                <w:rFonts w:hint="eastAsia"/>
                <w:kern w:val="0"/>
                <w:sz w:val="20"/>
                <w:szCs w:val="20"/>
              </w:rPr>
              <w:t>7</w:t>
            </w:r>
          </w:p>
        </w:tc>
        <w:tc>
          <w:tcPr>
            <w:tcW w:w="368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投标商提供的设备必须在距投标当日10个月内生产</w:t>
            </w:r>
          </w:p>
        </w:tc>
        <w:tc>
          <w:tcPr>
            <w:tcW w:w="910"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00" w:type="pct"/>
          </w:tcPr>
          <w:p>
            <w:pPr>
              <w:jc w:val="left"/>
              <w:rPr>
                <w:kern w:val="0"/>
                <w:sz w:val="20"/>
                <w:szCs w:val="20"/>
              </w:rPr>
            </w:pPr>
            <w:r>
              <w:rPr>
                <w:rFonts w:hint="eastAsia"/>
                <w:kern w:val="0"/>
                <w:sz w:val="20"/>
                <w:szCs w:val="20"/>
              </w:rPr>
              <w:t>8</w:t>
            </w:r>
          </w:p>
        </w:tc>
        <w:tc>
          <w:tcPr>
            <w:tcW w:w="3689"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其它优惠条款</w:t>
            </w:r>
          </w:p>
        </w:tc>
        <w:tc>
          <w:tcPr>
            <w:tcW w:w="910" w:type="pct"/>
          </w:tcPr>
          <w:p>
            <w:pPr>
              <w:jc w:val="center"/>
              <w:rPr>
                <w:rFonts w:hint="eastAsia" w:asciiTheme="minorEastAsia" w:hAnsiTheme="minorEastAsia" w:eastAsiaTheme="minorEastAsia" w:cstheme="minorEastAsia"/>
                <w:kern w:val="0"/>
                <w:sz w:val="24"/>
                <w:szCs w:val="24"/>
              </w:rPr>
            </w:pPr>
          </w:p>
        </w:tc>
      </w:tr>
    </w:tbl>
    <w:p>
      <w:pPr>
        <w:rPr>
          <w:rStyle w:val="11"/>
          <w:rFonts w:ascii="黑体" w:hAnsi="宋体" w:eastAsia="黑体" w:cs="黑体"/>
          <w:b w:val="0"/>
          <w:sz w:val="27"/>
          <w:szCs w:val="27"/>
        </w:rPr>
      </w:pPr>
      <w:r>
        <w:rPr>
          <w:rStyle w:val="11"/>
          <w:rFonts w:hint="eastAsia" w:ascii="黑体" w:hAnsi="宋体" w:eastAsia="黑体" w:cs="黑体"/>
          <w:b w:val="0"/>
          <w:sz w:val="27"/>
          <w:szCs w:val="27"/>
        </w:rPr>
        <w:t>八、评分细则</w:t>
      </w:r>
    </w:p>
    <w:p>
      <w:pPr>
        <w:spacing w:line="360" w:lineRule="auto"/>
        <w:ind w:firstLine="457" w:firstLineChars="196"/>
        <w:rPr>
          <w:rStyle w:val="11"/>
          <w:rFonts w:asciiTheme="minorEastAsia" w:hAnsiTheme="minorEastAsia" w:cstheme="minorEastAsia"/>
          <w:b w:val="0"/>
          <w:sz w:val="24"/>
          <w:szCs w:val="24"/>
        </w:rPr>
      </w:pPr>
      <w:r>
        <w:rPr>
          <w:rFonts w:hint="eastAsia" w:asciiTheme="minorEastAsia" w:hAnsiTheme="minorEastAsia" w:cstheme="minorEastAsia"/>
          <w:b/>
          <w:bCs/>
          <w:spacing w:val="-4"/>
          <w:sz w:val="24"/>
          <w:szCs w:val="24"/>
        </w:rPr>
        <w:t>1、商务技术分（0-65分）</w:t>
      </w:r>
    </w:p>
    <w:tbl>
      <w:tblPr>
        <w:tblStyle w:val="8"/>
        <w:tblW w:w="903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788"/>
        <w:gridCol w:w="2639"/>
        <w:gridCol w:w="997"/>
        <w:gridCol w:w="46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序号</w:t>
            </w:r>
          </w:p>
        </w:tc>
        <w:tc>
          <w:tcPr>
            <w:tcW w:w="2639"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评定项目</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分值</w:t>
            </w:r>
          </w:p>
        </w:tc>
        <w:tc>
          <w:tcPr>
            <w:tcW w:w="4607" w:type="dxa"/>
            <w:noWrap/>
            <w:vAlign w:val="center"/>
          </w:tcPr>
          <w:p>
            <w:pPr>
              <w:ind w:left="105" w:leftChars="50" w:right="10" w:rightChars="5"/>
              <w:jc w:val="center"/>
              <w:rPr>
                <w:rFonts w:asciiTheme="minorEastAsia" w:hAnsiTheme="minorEastAsia" w:cstheme="minorEastAsia"/>
                <w:sz w:val="24"/>
                <w:szCs w:val="24"/>
              </w:rPr>
            </w:pPr>
            <w:r>
              <w:rPr>
                <w:rFonts w:hint="eastAsia" w:asciiTheme="minorEastAsia" w:hAnsiTheme="minorEastAsia" w:cstheme="minorEastAsia"/>
                <w:sz w:val="24"/>
                <w:szCs w:val="24"/>
              </w:rPr>
              <w:t>评分细则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1</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对应于招标文件设备技术规格及配置的偏离度</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35</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与招标文件第四部分招标内容及要求的设备技术规格及配置对比，实质性条款除外，标注★的技术指标（或功能）偏离每项扣4分，一般技术指标偏离每项扣1分，一般功能偏离每项扣3分，商务要求偏离每项扣3分。扣完为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2</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投标设备配套的合理性</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3</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评委对投标设备配套的合理性、功能实现程度进行评价：投标设备配套合理、功能实现程度高的，得3分；配套较合理、功能实现程度较高的，得2分；配套合理性一般、不能完全达到临床要求功能的，得1分。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3</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投标设备技术指标的先进性</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3</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评委对投标设备技术指标的先进性进行评价：技术指标高于招标要求且具有较高临床使用价值的，每项得1分；最高得3分。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4</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投标机型的档次</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3</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投标机型在产品系列中属高档产品的，得3分；属中等档次产品的，得2分；属低档产品的，得1分。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5</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运行成本</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3</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包括保修价格、售后服务方案、年运行费用和消耗品或易耗品价格等综合运行成本进行评价。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6</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保修服务</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3</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设备保修期超过招标文件要求的，每增加1年加1分，增加部分不足1年的不计分。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7</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投标产品总体质量性能</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4</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投标产品在临床上的使用情况、稳定性、故障率等总体质量性能综合评价。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8</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市场占有率</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5</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提供2018年1月1日起至今与最终用户签订的投标机型合同复印件，每份有效合同得0.5分，最多5分。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9</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制造商或代理商的售后服务和维修能力</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2</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制造商或代理商的售后服务和维修能力，服务响应速度、服务人员水平、备品备件配置等综合评价。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10</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投标人提供的超出招标文件的优惠条件</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2</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评委对投标文件中是否有超出招标文件的优惠条件进行评议，没有实质性优惠条件得0分；有优惠条件的，根据优惠内容市场价值及实用性大小评分。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0" w:hRule="atLeast"/>
          <w:jc w:val="center"/>
        </w:trPr>
        <w:tc>
          <w:tcPr>
            <w:tcW w:w="788"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12</w:t>
            </w:r>
          </w:p>
        </w:tc>
        <w:tc>
          <w:tcPr>
            <w:tcW w:w="2639" w:type="dxa"/>
            <w:noWrap/>
            <w:vAlign w:val="center"/>
          </w:tcPr>
          <w:p>
            <w:pPr>
              <w:rPr>
                <w:rFonts w:asciiTheme="minorEastAsia" w:hAnsiTheme="minorEastAsia" w:cstheme="minorEastAsia"/>
                <w:sz w:val="24"/>
                <w:szCs w:val="24"/>
              </w:rPr>
            </w:pPr>
            <w:r>
              <w:rPr>
                <w:rFonts w:hint="eastAsia" w:asciiTheme="minorEastAsia" w:hAnsiTheme="minorEastAsia" w:cstheme="minorEastAsia"/>
                <w:sz w:val="24"/>
                <w:szCs w:val="24"/>
              </w:rPr>
              <w:t>环境标志产品、节能产品评审</w:t>
            </w:r>
          </w:p>
        </w:tc>
        <w:tc>
          <w:tcPr>
            <w:tcW w:w="997" w:type="dxa"/>
            <w:noWrap/>
            <w:vAlign w:val="center"/>
          </w:tcPr>
          <w:p>
            <w:pPr>
              <w:jc w:val="center"/>
              <w:rPr>
                <w:rFonts w:asciiTheme="minorEastAsia" w:hAnsiTheme="minorEastAsia" w:cstheme="minorEastAsia"/>
                <w:sz w:val="24"/>
                <w:szCs w:val="24"/>
              </w:rPr>
            </w:pPr>
            <w:r>
              <w:rPr>
                <w:rFonts w:hint="eastAsia" w:asciiTheme="minorEastAsia" w:hAnsiTheme="minorEastAsia" w:cstheme="minorEastAsia"/>
                <w:sz w:val="24"/>
                <w:szCs w:val="24"/>
              </w:rPr>
              <w:t>2</w:t>
            </w:r>
          </w:p>
        </w:tc>
        <w:tc>
          <w:tcPr>
            <w:tcW w:w="4607" w:type="dxa"/>
            <w:noWrap/>
            <w:vAlign w:val="center"/>
          </w:tcPr>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1）投标产品列入财政部、发展改革委发布的节能产品品目清单的，提供国家市场监督管理总局公布的《参与实施政府采购节能产品认证机构名录》内的认证机构出具的、处于有效期之内的节能标志产品认证证书的，得1分。</w:t>
            </w:r>
          </w:p>
          <w:p>
            <w:pPr>
              <w:ind w:left="105" w:leftChars="50" w:right="10" w:rightChars="5"/>
              <w:rPr>
                <w:rFonts w:asciiTheme="minorEastAsia" w:hAnsiTheme="minorEastAsia" w:cstheme="minorEastAsia"/>
                <w:sz w:val="24"/>
                <w:szCs w:val="24"/>
              </w:rPr>
            </w:pPr>
            <w:r>
              <w:rPr>
                <w:rFonts w:hint="eastAsia" w:asciiTheme="minorEastAsia" w:hAnsiTheme="minorEastAsia" w:cstheme="minorEastAsia"/>
                <w:sz w:val="24"/>
                <w:szCs w:val="24"/>
              </w:rPr>
              <w:t>2）投标产品列入财政部、生态环境部发布的环境标志产品品目清单的，提供国家市场监督管理总局公布的《参与实施政府采购环境标志产品认证机构名录》内的认证机构出具的、处于有效期之内的环境标志产品认证证书，得1分。</w:t>
            </w:r>
          </w:p>
        </w:tc>
      </w:tr>
    </w:tbl>
    <w:p>
      <w:pPr>
        <w:spacing w:beforeLines="50" w:afterLines="50"/>
        <w:ind w:firstLine="457" w:firstLineChars="196"/>
        <w:rPr>
          <w:rFonts w:asciiTheme="minorEastAsia" w:hAnsiTheme="minorEastAsia" w:cstheme="minorEastAsia"/>
          <w:b/>
          <w:bCs/>
          <w:spacing w:val="-4"/>
          <w:sz w:val="24"/>
          <w:szCs w:val="24"/>
        </w:rPr>
      </w:pPr>
      <w:r>
        <w:rPr>
          <w:rFonts w:hint="eastAsia" w:asciiTheme="minorEastAsia" w:hAnsiTheme="minorEastAsia" w:cstheme="minorEastAsia"/>
          <w:b/>
          <w:spacing w:val="-4"/>
          <w:sz w:val="24"/>
          <w:szCs w:val="24"/>
        </w:rPr>
        <w:t>2、</w:t>
      </w:r>
      <w:r>
        <w:rPr>
          <w:rFonts w:hint="eastAsia" w:asciiTheme="minorEastAsia" w:hAnsiTheme="minorEastAsia" w:cstheme="minorEastAsia"/>
          <w:b/>
          <w:bCs/>
          <w:spacing w:val="-4"/>
          <w:sz w:val="24"/>
          <w:szCs w:val="24"/>
        </w:rPr>
        <w:t>价格分（0-35分）</w:t>
      </w:r>
    </w:p>
    <w:p>
      <w:pPr>
        <w:spacing w:beforeLines="50" w:afterLines="50" w:line="360" w:lineRule="auto"/>
        <w:ind w:firstLine="464" w:firstLineChars="200"/>
        <w:rPr>
          <w:rFonts w:asciiTheme="minorEastAsia" w:hAnsiTheme="minorEastAsia" w:cstheme="minorEastAsia"/>
          <w:bCs/>
          <w:spacing w:val="-4"/>
          <w:sz w:val="24"/>
          <w:szCs w:val="24"/>
        </w:rPr>
      </w:pPr>
      <w:r>
        <w:rPr>
          <w:rFonts w:hint="eastAsia" w:asciiTheme="minorEastAsia" w:hAnsiTheme="minorEastAsia" w:cstheme="minorEastAsia"/>
          <w:bCs/>
          <w:spacing w:val="-4"/>
          <w:sz w:val="24"/>
          <w:szCs w:val="24"/>
        </w:rPr>
        <w:t>价格分采用低价优先法计算，即满足招标文件要求且投标报价最低的投标报价为评标基准价，其得分为满分35分。其他投标人的价格分按照下列公式计算：</w:t>
      </w:r>
    </w:p>
    <w:p>
      <w:pPr>
        <w:spacing w:beforeLines="50" w:afterLines="50"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价格分=（评标基准价/</w:t>
      </w:r>
      <w:r>
        <w:rPr>
          <w:rFonts w:hint="eastAsia" w:asciiTheme="minorEastAsia" w:hAnsiTheme="minorEastAsia" w:cstheme="minorEastAsia"/>
          <w:bCs/>
          <w:spacing w:val="-4"/>
          <w:sz w:val="24"/>
          <w:szCs w:val="24"/>
        </w:rPr>
        <w:t>投标报价</w:t>
      </w:r>
      <w:r>
        <w:rPr>
          <w:rFonts w:hint="eastAsia" w:asciiTheme="minorEastAsia" w:hAnsiTheme="minorEastAsia" w:cstheme="minorEastAsia"/>
          <w:sz w:val="24"/>
          <w:szCs w:val="24"/>
        </w:rPr>
        <w:t>）×35%×100</w:t>
      </w:r>
    </w:p>
    <w:p>
      <w:pPr>
        <w:numPr>
          <w:ilvl w:val="0"/>
          <w:numId w:val="2"/>
        </w:numPr>
        <w:ind w:firstLine="482" w:firstLineChars="200"/>
        <w:jc w:val="left"/>
        <w:rPr>
          <w:sz w:val="24"/>
        </w:rPr>
      </w:pPr>
      <w:r>
        <w:rPr>
          <w:rFonts w:hint="eastAsia" w:asciiTheme="minorEastAsia" w:hAnsiTheme="minorEastAsia" w:cstheme="minorEastAsia"/>
          <w:b/>
          <w:sz w:val="24"/>
          <w:szCs w:val="24"/>
        </w:rPr>
        <w:t>总分：</w:t>
      </w:r>
      <w:r>
        <w:rPr>
          <w:rFonts w:hint="eastAsia" w:asciiTheme="minorEastAsia" w:hAnsiTheme="minorEastAsia" w:cstheme="minorEastAsia"/>
          <w:sz w:val="24"/>
          <w:szCs w:val="24"/>
        </w:rPr>
        <w:t>投标人的综合得分为以上商务技术分及价格分之和</w:t>
      </w:r>
      <w:r>
        <w:rPr>
          <w:sz w:val="24"/>
        </w:rPr>
        <w:t>。</w:t>
      </w:r>
    </w:p>
    <w:p>
      <w:pPr>
        <w:jc w:val="left"/>
        <w:rPr>
          <w:b/>
          <w:bCs/>
          <w:sz w:val="24"/>
        </w:rPr>
      </w:pPr>
    </w:p>
    <w:p>
      <w:pPr>
        <w:jc w:val="left"/>
        <w:rPr>
          <w:b/>
          <w:bCs/>
          <w:sz w:val="24"/>
        </w:rPr>
      </w:pPr>
      <w:r>
        <w:rPr>
          <w:rFonts w:hint="eastAsia"/>
          <w:b/>
          <w:bCs/>
          <w:sz w:val="24"/>
        </w:rPr>
        <w:t>九、我院正式合同版本</w:t>
      </w:r>
    </w:p>
    <w:p>
      <w:pPr>
        <w:pStyle w:val="7"/>
        <w:rPr>
          <w:sz w:val="44"/>
        </w:rPr>
      </w:pPr>
      <w:r>
        <w:rPr>
          <w:rFonts w:hint="eastAsia"/>
          <w:sz w:val="44"/>
        </w:rPr>
        <w:t>温州市中医院医疗设备采购合同</w:t>
      </w:r>
    </w:p>
    <w:p>
      <w:pPr>
        <w:rPr>
          <w:w w:val="95"/>
        </w:rPr>
      </w:pPr>
      <w:r>
        <w:rPr>
          <w:w w:val="95"/>
        </w:rPr>
        <w:t>合同编号：</w:t>
      </w:r>
    </w:p>
    <w:p>
      <w:pPr>
        <w:spacing w:before="107" w:line="220" w:lineRule="atLeast"/>
        <w:ind w:left="105"/>
        <w:rPr>
          <w:b/>
          <w:sz w:val="20"/>
        </w:rPr>
      </w:pPr>
      <w:r>
        <w:rPr>
          <w:rFonts w:hint="eastAsia"/>
          <w:b/>
          <w:sz w:val="20"/>
        </w:rPr>
        <w:t>甲方（采购单位）：温州市中医院</w:t>
      </w:r>
    </w:p>
    <w:p>
      <w:pPr>
        <w:spacing w:before="107" w:line="220" w:lineRule="atLeast"/>
        <w:ind w:left="105"/>
        <w:rPr>
          <w:b/>
          <w:sz w:val="20"/>
        </w:rPr>
      </w:pPr>
      <w:r>
        <w:rPr>
          <w:b/>
          <w:sz w:val="20"/>
        </w:rPr>
        <w:t>乙方（供应商）：</w:t>
      </w:r>
    </w:p>
    <w:p>
      <w:pPr>
        <w:pStyle w:val="3"/>
        <w:spacing w:before="106"/>
        <w:ind w:left="111" w:right="209" w:firstLine="500" w:firstLineChars="250"/>
        <w:rPr>
          <w:color w:val="000000" w:themeColor="text1"/>
          <w:sz w:val="20"/>
        </w:rPr>
      </w:pPr>
      <w:r>
        <w:rPr>
          <w:sz w:val="20"/>
        </w:rPr>
        <w:t>根据《中华人民共</w:t>
      </w:r>
      <w:r>
        <w:rPr>
          <w:color w:val="000000" w:themeColor="text1"/>
          <w:sz w:val="20"/>
        </w:rPr>
        <w:t>和国政府采购法》、《中华人民共和国</w:t>
      </w:r>
      <w:r>
        <w:rPr>
          <w:rFonts w:hint="eastAsia"/>
          <w:color w:val="000000" w:themeColor="text1"/>
          <w:sz w:val="20"/>
        </w:rPr>
        <w:t>民法典</w:t>
      </w:r>
      <w:r>
        <w:rPr>
          <w:color w:val="000000" w:themeColor="text1"/>
          <w:sz w:val="20"/>
        </w:rPr>
        <w:t>》等相关法律法规，以及</w:t>
      </w:r>
      <w:r>
        <w:rPr>
          <w:rFonts w:hint="eastAsia"/>
          <w:color w:val="000000" w:themeColor="text1"/>
          <w:sz w:val="20"/>
          <w:u w:val="single"/>
          <w:lang w:val="en-US"/>
        </w:rPr>
        <w:t>(招标</w:t>
      </w:r>
      <w:r>
        <w:rPr>
          <w:color w:val="000000" w:themeColor="text1"/>
          <w:sz w:val="20"/>
          <w:u w:val="single"/>
          <w:lang w:val="en-US"/>
        </w:rPr>
        <w:t>编号</w:t>
      </w:r>
      <w:r>
        <w:rPr>
          <w:rFonts w:hint="eastAsia"/>
          <w:color w:val="000000" w:themeColor="text1"/>
          <w:sz w:val="20"/>
          <w:u w:val="single"/>
          <w:lang w:val="en-US"/>
        </w:rPr>
        <w:t>)</w:t>
      </w:r>
      <w:r>
        <w:rPr>
          <w:color w:val="000000" w:themeColor="text1"/>
          <w:w w:val="95"/>
          <w:sz w:val="20"/>
        </w:rPr>
        <w:t>项</w:t>
      </w:r>
      <w:r>
        <w:rPr>
          <w:color w:val="000000" w:themeColor="text1"/>
          <w:sz w:val="20"/>
        </w:rPr>
        <w:t>目（以下简称</w:t>
      </w:r>
      <w:r>
        <w:rPr>
          <w:rFonts w:ascii="Verdana" w:hAnsi="Verdana" w:eastAsia="Verdana"/>
          <w:color w:val="000000" w:themeColor="text1"/>
          <w:sz w:val="20"/>
        </w:rPr>
        <w:t>“</w:t>
      </w:r>
      <w:r>
        <w:rPr>
          <w:color w:val="000000" w:themeColor="text1"/>
          <w:sz w:val="20"/>
        </w:rPr>
        <w:t>项目</w:t>
      </w:r>
      <w:r>
        <w:rPr>
          <w:rFonts w:ascii="Verdana" w:hAnsi="Verdana" w:eastAsia="Verdana"/>
          <w:color w:val="000000" w:themeColor="text1"/>
          <w:sz w:val="20"/>
        </w:rPr>
        <w:t>”</w:t>
      </w:r>
      <w:r>
        <w:rPr>
          <w:color w:val="000000" w:themeColor="text1"/>
          <w:sz w:val="20"/>
        </w:rPr>
        <w:t>）招标文件、中标供应商投标文件、项目采购协议，或入围承诺书，甲乙双方经协商一致，签署本合同。</w:t>
      </w:r>
    </w:p>
    <w:p>
      <w:pPr>
        <w:pStyle w:val="2"/>
        <w:numPr>
          <w:ilvl w:val="0"/>
          <w:numId w:val="3"/>
        </w:numPr>
        <w:spacing w:before="84" w:after="13"/>
        <w:rPr>
          <w:color w:val="000000" w:themeColor="text1"/>
          <w:sz w:val="20"/>
        </w:rPr>
      </w:pPr>
      <w:r>
        <w:rPr>
          <w:color w:val="000000" w:themeColor="text1"/>
          <w:sz w:val="20"/>
        </w:rPr>
        <w:t>货物内容及合同价格</w:t>
      </w:r>
    </w:p>
    <w:tbl>
      <w:tblPr>
        <w:tblStyle w:val="8"/>
        <w:tblW w:w="8364"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4"/>
        <w:gridCol w:w="1418"/>
        <w:gridCol w:w="1559"/>
        <w:gridCol w:w="2126"/>
        <w:gridCol w:w="993"/>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trPr>
        <w:tc>
          <w:tcPr>
            <w:tcW w:w="1134" w:type="dxa"/>
            <w:vAlign w:val="center"/>
          </w:tcPr>
          <w:p>
            <w:pPr>
              <w:pStyle w:val="15"/>
              <w:spacing w:before="116"/>
              <w:jc w:val="center"/>
              <w:rPr>
                <w:b/>
                <w:color w:val="000000" w:themeColor="text1"/>
                <w:sz w:val="21"/>
              </w:rPr>
            </w:pPr>
            <w:r>
              <w:rPr>
                <w:b/>
                <w:color w:val="000000" w:themeColor="text1"/>
                <w:sz w:val="21"/>
              </w:rPr>
              <w:t>货物名称</w:t>
            </w:r>
          </w:p>
        </w:tc>
        <w:tc>
          <w:tcPr>
            <w:tcW w:w="1418" w:type="dxa"/>
            <w:vAlign w:val="center"/>
          </w:tcPr>
          <w:p>
            <w:pPr>
              <w:pStyle w:val="15"/>
              <w:spacing w:before="116"/>
              <w:ind w:right="276"/>
              <w:jc w:val="center"/>
              <w:rPr>
                <w:b/>
                <w:color w:val="000000" w:themeColor="text1"/>
                <w:sz w:val="21"/>
              </w:rPr>
            </w:pPr>
            <w:r>
              <w:rPr>
                <w:b/>
                <w:color w:val="000000" w:themeColor="text1"/>
                <w:sz w:val="21"/>
              </w:rPr>
              <w:t>品牌</w:t>
            </w:r>
          </w:p>
        </w:tc>
        <w:tc>
          <w:tcPr>
            <w:tcW w:w="1559" w:type="dxa"/>
            <w:vAlign w:val="center"/>
          </w:tcPr>
          <w:p>
            <w:pPr>
              <w:pStyle w:val="15"/>
              <w:spacing w:before="116"/>
              <w:ind w:left="287" w:right="276"/>
              <w:jc w:val="center"/>
              <w:rPr>
                <w:b/>
                <w:color w:val="000000" w:themeColor="text1"/>
                <w:sz w:val="21"/>
              </w:rPr>
            </w:pPr>
            <w:r>
              <w:rPr>
                <w:b/>
                <w:color w:val="000000" w:themeColor="text1"/>
                <w:sz w:val="21"/>
              </w:rPr>
              <w:t>型号规格</w:t>
            </w:r>
          </w:p>
        </w:tc>
        <w:tc>
          <w:tcPr>
            <w:tcW w:w="2126" w:type="dxa"/>
            <w:vAlign w:val="center"/>
          </w:tcPr>
          <w:p>
            <w:pPr>
              <w:pStyle w:val="15"/>
              <w:spacing w:before="116"/>
              <w:ind w:left="71" w:right="61"/>
              <w:jc w:val="center"/>
              <w:rPr>
                <w:b/>
                <w:color w:val="000000" w:themeColor="text1"/>
                <w:sz w:val="20"/>
              </w:rPr>
            </w:pPr>
            <w:r>
              <w:rPr>
                <w:b/>
                <w:color w:val="000000" w:themeColor="text1"/>
                <w:sz w:val="21"/>
              </w:rPr>
              <w:t>配置要求</w:t>
            </w:r>
          </w:p>
        </w:tc>
        <w:tc>
          <w:tcPr>
            <w:tcW w:w="993" w:type="dxa"/>
            <w:vAlign w:val="center"/>
          </w:tcPr>
          <w:p>
            <w:pPr>
              <w:pStyle w:val="15"/>
              <w:spacing w:before="116"/>
              <w:ind w:left="71" w:right="61"/>
              <w:jc w:val="center"/>
              <w:rPr>
                <w:b/>
                <w:color w:val="000000" w:themeColor="text1"/>
                <w:sz w:val="20"/>
              </w:rPr>
            </w:pPr>
            <w:r>
              <w:rPr>
                <w:b/>
                <w:color w:val="000000" w:themeColor="text1"/>
                <w:sz w:val="20"/>
              </w:rPr>
              <w:t>数量</w:t>
            </w:r>
          </w:p>
        </w:tc>
        <w:tc>
          <w:tcPr>
            <w:tcW w:w="1134" w:type="dxa"/>
            <w:vAlign w:val="center"/>
          </w:tcPr>
          <w:p>
            <w:pPr>
              <w:pStyle w:val="15"/>
              <w:spacing w:before="116"/>
              <w:ind w:left="71" w:right="62"/>
              <w:jc w:val="center"/>
              <w:rPr>
                <w:b/>
                <w:color w:val="000000" w:themeColor="text1"/>
                <w:sz w:val="20"/>
              </w:rPr>
            </w:pPr>
            <w:r>
              <w:rPr>
                <w:b/>
                <w:color w:val="000000" w:themeColor="text1"/>
                <w:sz w:val="20"/>
              </w:rPr>
              <w:t>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5"/>
              <w:jc w:val="center"/>
              <w:rPr>
                <w:b/>
                <w:color w:val="000000" w:themeColor="text1"/>
                <w:lang w:val="en-US"/>
              </w:rPr>
            </w:pPr>
          </w:p>
        </w:tc>
        <w:tc>
          <w:tcPr>
            <w:tcW w:w="1418" w:type="dxa"/>
            <w:vAlign w:val="center"/>
          </w:tcPr>
          <w:p>
            <w:pPr>
              <w:pStyle w:val="15"/>
              <w:jc w:val="center"/>
              <w:rPr>
                <w:b/>
                <w:color w:val="000000" w:themeColor="text1"/>
                <w:lang w:val="en-US"/>
              </w:rPr>
            </w:pPr>
          </w:p>
        </w:tc>
        <w:tc>
          <w:tcPr>
            <w:tcW w:w="1559" w:type="dxa"/>
            <w:vAlign w:val="center"/>
          </w:tcPr>
          <w:p>
            <w:pPr>
              <w:pStyle w:val="15"/>
              <w:jc w:val="center"/>
              <w:rPr>
                <w:b/>
                <w:color w:val="000000" w:themeColor="text1"/>
                <w:lang w:val="en-US"/>
              </w:rPr>
            </w:pPr>
          </w:p>
        </w:tc>
        <w:tc>
          <w:tcPr>
            <w:tcW w:w="2126" w:type="dxa"/>
            <w:vAlign w:val="center"/>
          </w:tcPr>
          <w:p>
            <w:pPr>
              <w:pStyle w:val="15"/>
              <w:jc w:val="center"/>
              <w:rPr>
                <w:rFonts w:ascii="Verdana"/>
                <w:color w:val="000000" w:themeColor="text1"/>
                <w:sz w:val="20"/>
              </w:rPr>
            </w:pPr>
          </w:p>
        </w:tc>
        <w:tc>
          <w:tcPr>
            <w:tcW w:w="993" w:type="dxa"/>
            <w:vAlign w:val="center"/>
          </w:tcPr>
          <w:p>
            <w:pPr>
              <w:pStyle w:val="15"/>
              <w:jc w:val="center"/>
              <w:rPr>
                <w:rFonts w:ascii="Verdana"/>
                <w:color w:val="000000" w:themeColor="text1"/>
                <w:sz w:val="20"/>
              </w:rPr>
            </w:pPr>
          </w:p>
        </w:tc>
        <w:tc>
          <w:tcPr>
            <w:tcW w:w="1134" w:type="dxa"/>
            <w:vAlign w:val="center"/>
          </w:tcPr>
          <w:p>
            <w:pPr>
              <w:pStyle w:val="15"/>
              <w:jc w:val="center"/>
              <w:rPr>
                <w:rFonts w:ascii="Verdana"/>
                <w:color w:val="000000" w:themeColor="text1"/>
                <w:sz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5"/>
              <w:jc w:val="center"/>
              <w:rPr>
                <w:b/>
                <w:color w:val="000000" w:themeColor="text1"/>
                <w:lang w:val="en-US"/>
              </w:rPr>
            </w:pPr>
          </w:p>
        </w:tc>
        <w:tc>
          <w:tcPr>
            <w:tcW w:w="1418" w:type="dxa"/>
            <w:vAlign w:val="center"/>
          </w:tcPr>
          <w:p>
            <w:pPr>
              <w:pStyle w:val="15"/>
              <w:jc w:val="center"/>
              <w:rPr>
                <w:b/>
                <w:color w:val="000000" w:themeColor="text1"/>
                <w:lang w:val="en-US"/>
              </w:rPr>
            </w:pPr>
          </w:p>
        </w:tc>
        <w:tc>
          <w:tcPr>
            <w:tcW w:w="1559" w:type="dxa"/>
            <w:vAlign w:val="center"/>
          </w:tcPr>
          <w:p>
            <w:pPr>
              <w:pStyle w:val="15"/>
              <w:jc w:val="center"/>
              <w:rPr>
                <w:b/>
                <w:color w:val="000000" w:themeColor="text1"/>
                <w:lang w:val="en-US"/>
              </w:rPr>
            </w:pPr>
          </w:p>
        </w:tc>
        <w:tc>
          <w:tcPr>
            <w:tcW w:w="2126" w:type="dxa"/>
            <w:vAlign w:val="center"/>
          </w:tcPr>
          <w:p>
            <w:pPr>
              <w:pStyle w:val="15"/>
              <w:jc w:val="center"/>
              <w:rPr>
                <w:rFonts w:ascii="Verdana"/>
                <w:color w:val="000000" w:themeColor="text1"/>
                <w:sz w:val="20"/>
              </w:rPr>
            </w:pPr>
          </w:p>
        </w:tc>
        <w:tc>
          <w:tcPr>
            <w:tcW w:w="993" w:type="dxa"/>
            <w:vAlign w:val="center"/>
          </w:tcPr>
          <w:p>
            <w:pPr>
              <w:pStyle w:val="15"/>
              <w:jc w:val="center"/>
              <w:rPr>
                <w:rFonts w:ascii="Verdana"/>
                <w:color w:val="000000" w:themeColor="text1"/>
                <w:sz w:val="20"/>
              </w:rPr>
            </w:pPr>
          </w:p>
        </w:tc>
        <w:tc>
          <w:tcPr>
            <w:tcW w:w="1134" w:type="dxa"/>
            <w:vAlign w:val="center"/>
          </w:tcPr>
          <w:p>
            <w:pPr>
              <w:pStyle w:val="15"/>
              <w:jc w:val="center"/>
              <w:rPr>
                <w:rFonts w:ascii="Verdana"/>
                <w:color w:val="000000" w:themeColor="text1"/>
                <w:sz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8364" w:type="dxa"/>
            <w:gridSpan w:val="6"/>
          </w:tcPr>
          <w:p>
            <w:pPr>
              <w:pStyle w:val="15"/>
              <w:spacing w:before="116"/>
              <w:ind w:firstLine="1440" w:firstLineChars="800"/>
              <w:rPr>
                <w:color w:val="000000" w:themeColor="text1"/>
                <w:sz w:val="20"/>
              </w:rPr>
            </w:pPr>
            <w:r>
              <w:rPr>
                <w:color w:val="000000" w:themeColor="text1"/>
                <w:sz w:val="18"/>
              </w:rPr>
              <w:t>合同总价大写</w:t>
            </w:r>
            <w:r>
              <w:rPr>
                <w:rFonts w:hint="eastAsia"/>
                <w:color w:val="000000" w:themeColor="text1"/>
                <w:sz w:val="18"/>
                <w:lang w:val="en-US"/>
              </w:rPr>
              <w:t xml:space="preserve">: </w:t>
            </w:r>
            <w:r>
              <w:rPr>
                <w:rFonts w:hint="eastAsia"/>
                <w:color w:val="000000" w:themeColor="text1"/>
                <w:sz w:val="18"/>
              </w:rPr>
              <w:t xml:space="preserve">元整                           </w:t>
            </w:r>
            <w:r>
              <w:rPr>
                <w:color w:val="000000" w:themeColor="text1"/>
                <w:sz w:val="18"/>
              </w:rPr>
              <w:t>小写：￥</w:t>
            </w:r>
          </w:p>
        </w:tc>
      </w:tr>
    </w:tbl>
    <w:p>
      <w:pPr>
        <w:ind w:right="1636"/>
        <w:jc w:val="right"/>
        <w:rPr>
          <w:color w:val="000000" w:themeColor="text1"/>
          <w:sz w:val="24"/>
        </w:rPr>
      </w:pPr>
      <w:r>
        <w:rPr>
          <w:color w:val="000000" w:themeColor="text1"/>
          <w:sz w:val="20"/>
        </w:rPr>
        <w:t>金额单位：元</w:t>
      </w:r>
    </w:p>
    <w:p>
      <w:pPr>
        <w:pStyle w:val="3"/>
        <w:spacing w:line="0" w:lineRule="atLeast"/>
        <w:ind w:right="210"/>
        <w:rPr>
          <w:color w:val="000000" w:themeColor="text1"/>
          <w:sz w:val="18"/>
        </w:rPr>
      </w:pPr>
      <w:r>
        <w:rPr>
          <w:rFonts w:hint="eastAsia"/>
          <w:color w:val="000000" w:themeColor="text1"/>
          <w:sz w:val="18"/>
        </w:rPr>
        <w:t>注：1、商品型号、数量、配置要求及使用单位地址等详见附件清单</w:t>
      </w:r>
    </w:p>
    <w:p>
      <w:pPr>
        <w:pStyle w:val="3"/>
        <w:spacing w:line="0" w:lineRule="atLeast"/>
        <w:ind w:left="105" w:right="210"/>
        <w:rPr>
          <w:color w:val="000000" w:themeColor="text1"/>
          <w:sz w:val="20"/>
        </w:rPr>
      </w:pPr>
      <w:r>
        <w:rPr>
          <w:rFonts w:hint="eastAsia"/>
          <w:color w:val="000000" w:themeColor="text1"/>
          <w:sz w:val="18"/>
        </w:rPr>
        <w:t xml:space="preserve">   2、以上合同总价包含货物到达用户并能正常使用所需的一切费用，包括但不限于包装费、运输费、装卸费、保险费、安装调试费、技术服务费、培训费以及保修费、税费等。</w:t>
      </w:r>
    </w:p>
    <w:p>
      <w:pPr>
        <w:pStyle w:val="2"/>
        <w:spacing w:before="85"/>
        <w:rPr>
          <w:color w:val="000000" w:themeColor="text1"/>
          <w:sz w:val="20"/>
        </w:rPr>
      </w:pPr>
      <w:r>
        <w:rPr>
          <w:color w:val="000000" w:themeColor="text1"/>
          <w:sz w:val="20"/>
        </w:rPr>
        <w:t>二、技术资料</w:t>
      </w:r>
    </w:p>
    <w:p>
      <w:pPr>
        <w:pStyle w:val="16"/>
        <w:numPr>
          <w:ilvl w:val="0"/>
          <w:numId w:val="4"/>
        </w:numPr>
        <w:tabs>
          <w:tab w:val="left" w:pos="522"/>
        </w:tabs>
        <w:ind w:hanging="170"/>
        <w:rPr>
          <w:color w:val="000000" w:themeColor="text1"/>
          <w:sz w:val="20"/>
        </w:rPr>
      </w:pPr>
      <w:r>
        <w:rPr>
          <w:color w:val="000000" w:themeColor="text1"/>
          <w:sz w:val="20"/>
        </w:rPr>
        <w:t>乙方应按招标文件规定的时间向甲方提供使用货物的有关技术资料。</w:t>
      </w:r>
    </w:p>
    <w:p>
      <w:pPr>
        <w:pStyle w:val="16"/>
        <w:numPr>
          <w:ilvl w:val="0"/>
          <w:numId w:val="4"/>
        </w:numPr>
        <w:tabs>
          <w:tab w:val="left" w:pos="522"/>
        </w:tabs>
        <w:ind w:left="111" w:right="101" w:firstLine="240"/>
        <w:rPr>
          <w:color w:val="000000" w:themeColor="text1"/>
          <w:sz w:val="20"/>
        </w:rPr>
      </w:pPr>
      <w:r>
        <w:rPr>
          <w:color w:val="000000" w:themeColor="text1"/>
          <w:sz w:val="20"/>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2"/>
        <w:spacing w:before="86"/>
        <w:rPr>
          <w:color w:val="000000" w:themeColor="text1"/>
          <w:sz w:val="20"/>
        </w:rPr>
      </w:pPr>
      <w:r>
        <w:rPr>
          <w:color w:val="000000" w:themeColor="text1"/>
          <w:sz w:val="20"/>
        </w:rPr>
        <w:t>三、知识产权</w:t>
      </w:r>
    </w:p>
    <w:p>
      <w:pPr>
        <w:pStyle w:val="3"/>
        <w:spacing w:before="22"/>
        <w:ind w:left="351"/>
        <w:rPr>
          <w:color w:val="000000" w:themeColor="text1"/>
          <w:sz w:val="20"/>
        </w:rPr>
      </w:pPr>
      <w:r>
        <w:rPr>
          <w:color w:val="000000" w:themeColor="text1"/>
          <w:sz w:val="20"/>
        </w:rPr>
        <w:t>乙方应保证所提供的货物或其任何一部分均不会侵犯任何第三方的知识产权。</w:t>
      </w:r>
    </w:p>
    <w:p>
      <w:pPr>
        <w:pStyle w:val="2"/>
        <w:rPr>
          <w:color w:val="000000" w:themeColor="text1"/>
          <w:sz w:val="20"/>
        </w:rPr>
      </w:pPr>
      <w:r>
        <w:rPr>
          <w:color w:val="000000" w:themeColor="text1"/>
          <w:sz w:val="20"/>
        </w:rPr>
        <w:t>四、产权担保</w:t>
      </w:r>
    </w:p>
    <w:p>
      <w:pPr>
        <w:pStyle w:val="3"/>
        <w:spacing w:before="23"/>
        <w:ind w:left="351"/>
        <w:rPr>
          <w:color w:val="000000" w:themeColor="text1"/>
          <w:sz w:val="20"/>
        </w:rPr>
      </w:pPr>
      <w:r>
        <w:rPr>
          <w:color w:val="000000" w:themeColor="text1"/>
          <w:sz w:val="20"/>
        </w:rPr>
        <w:t>乙方保证所交付的货物的所有权完全属于乙方且无任何抵押、查封等产权瑕疵。</w:t>
      </w:r>
    </w:p>
    <w:p>
      <w:pPr>
        <w:pStyle w:val="2"/>
        <w:rPr>
          <w:color w:val="000000" w:themeColor="text1"/>
          <w:sz w:val="20"/>
        </w:rPr>
      </w:pPr>
      <w:r>
        <w:rPr>
          <w:color w:val="000000" w:themeColor="text1"/>
          <w:sz w:val="20"/>
        </w:rPr>
        <w:t>五、转包或分包</w:t>
      </w:r>
    </w:p>
    <w:p>
      <w:pPr>
        <w:pStyle w:val="3"/>
        <w:spacing w:before="22"/>
        <w:ind w:left="351"/>
        <w:rPr>
          <w:color w:val="000000" w:themeColor="text1"/>
          <w:sz w:val="20"/>
        </w:rPr>
      </w:pPr>
      <w:r>
        <w:rPr>
          <w:color w:val="000000" w:themeColor="text1"/>
          <w:sz w:val="20"/>
        </w:rPr>
        <w:t>本合同范围的货物，应由乙方直接供应，不得转让他人供应，否则，甲方有权解除合同，没收质量保证金并追究乙方的违约责任。</w:t>
      </w:r>
    </w:p>
    <w:p>
      <w:pPr>
        <w:pStyle w:val="2"/>
        <w:spacing w:before="107"/>
        <w:rPr>
          <w:color w:val="000000" w:themeColor="text1"/>
          <w:sz w:val="20"/>
        </w:rPr>
      </w:pPr>
      <w:r>
        <w:rPr>
          <w:color w:val="000000" w:themeColor="text1"/>
          <w:sz w:val="20"/>
        </w:rPr>
        <w:t>六、质保期和质保金</w:t>
      </w:r>
    </w:p>
    <w:p>
      <w:pPr>
        <w:pStyle w:val="16"/>
        <w:numPr>
          <w:ilvl w:val="0"/>
          <w:numId w:val="5"/>
        </w:numPr>
        <w:tabs>
          <w:tab w:val="left" w:pos="522"/>
        </w:tabs>
        <w:ind w:hanging="170"/>
        <w:rPr>
          <w:color w:val="000000" w:themeColor="text1"/>
          <w:sz w:val="20"/>
        </w:rPr>
      </w:pPr>
      <w:r>
        <w:rPr>
          <w:color w:val="000000" w:themeColor="text1"/>
          <w:spacing w:val="-6"/>
          <w:sz w:val="20"/>
        </w:rPr>
        <w:t>质保期为</w:t>
      </w:r>
      <w:r>
        <w:rPr>
          <w:rFonts w:hint="eastAsia"/>
          <w:color w:val="000000" w:themeColor="text1"/>
          <w:spacing w:val="-6"/>
          <w:sz w:val="20"/>
          <w:lang w:val="en-US"/>
        </w:rPr>
        <w:t>年</w:t>
      </w:r>
      <w:r>
        <w:rPr>
          <w:color w:val="000000" w:themeColor="text1"/>
          <w:sz w:val="20"/>
        </w:rPr>
        <w:t>。（自交货验收合格之日起计）</w:t>
      </w:r>
    </w:p>
    <w:p>
      <w:pPr>
        <w:pStyle w:val="16"/>
        <w:numPr>
          <w:ilvl w:val="0"/>
          <w:numId w:val="5"/>
        </w:numPr>
        <w:tabs>
          <w:tab w:val="left" w:pos="522"/>
          <w:tab w:val="left" w:pos="1347"/>
        </w:tabs>
        <w:spacing w:before="70"/>
        <w:ind w:hanging="170"/>
        <w:rPr>
          <w:rFonts w:ascii="Verdana" w:eastAsia="Verdana"/>
          <w:color w:val="000000" w:themeColor="text1"/>
          <w:sz w:val="20"/>
        </w:rPr>
      </w:pPr>
      <w:r>
        <w:rPr>
          <w:color w:val="000000" w:themeColor="text1"/>
          <w:sz w:val="20"/>
        </w:rPr>
        <w:t>质保金</w:t>
      </w:r>
      <w:r>
        <w:rPr>
          <w:rFonts w:hint="eastAsia"/>
          <w:color w:val="000000" w:themeColor="text1"/>
          <w:sz w:val="20"/>
          <w:u w:val="single" w:color="4068E0"/>
          <w:lang w:val="en-US"/>
        </w:rPr>
        <w:t>0</w:t>
      </w:r>
      <w:r>
        <w:rPr>
          <w:color w:val="000000" w:themeColor="text1"/>
          <w:sz w:val="20"/>
          <w:u w:val="single" w:color="4068E0"/>
        </w:rPr>
        <w:tab/>
      </w:r>
      <w:r>
        <w:rPr>
          <w:color w:val="000000" w:themeColor="text1"/>
          <w:sz w:val="20"/>
        </w:rPr>
        <w:t>元。</w:t>
      </w:r>
      <w:r>
        <w:rPr>
          <w:rFonts w:ascii="Verdana" w:eastAsia="Verdana"/>
          <w:color w:val="000000" w:themeColor="text1"/>
          <w:spacing w:val="-5"/>
          <w:sz w:val="20"/>
        </w:rPr>
        <w:t>[</w:t>
      </w:r>
      <w:r>
        <w:rPr>
          <w:color w:val="000000" w:themeColor="text1"/>
          <w:sz w:val="20"/>
        </w:rPr>
        <w:t>质量保证金</w:t>
      </w:r>
      <w:r>
        <w:rPr>
          <w:rFonts w:hint="eastAsia"/>
          <w:color w:val="000000" w:themeColor="text1"/>
          <w:sz w:val="20"/>
        </w:rPr>
        <w:t>于合同签订后</w:t>
      </w:r>
      <w:r>
        <w:rPr>
          <w:rFonts w:hint="eastAsia"/>
          <w:color w:val="000000" w:themeColor="text1"/>
          <w:sz w:val="20"/>
          <w:lang w:val="en-US"/>
        </w:rPr>
        <w:t xml:space="preserve">    日内</w:t>
      </w:r>
      <w:r>
        <w:rPr>
          <w:color w:val="000000" w:themeColor="text1"/>
          <w:sz w:val="20"/>
        </w:rPr>
        <w:t>交给采购单位，在合同约定交货验收合格满（）个月之日起</w:t>
      </w:r>
      <w:r>
        <w:rPr>
          <w:rFonts w:hint="eastAsia"/>
          <w:color w:val="000000" w:themeColor="text1"/>
          <w:spacing w:val="-28"/>
          <w:sz w:val="20"/>
          <w:lang w:val="en-US"/>
        </w:rPr>
        <w:t xml:space="preserve"> 5 </w:t>
      </w:r>
      <w:r>
        <w:rPr>
          <w:color w:val="000000" w:themeColor="text1"/>
          <w:sz w:val="20"/>
        </w:rPr>
        <w:t>个工作日内无息退还</w:t>
      </w:r>
      <w:r>
        <w:rPr>
          <w:rFonts w:ascii="Verdana" w:eastAsia="Verdana"/>
          <w:color w:val="000000" w:themeColor="text1"/>
          <w:sz w:val="20"/>
        </w:rPr>
        <w:t>]</w:t>
      </w:r>
    </w:p>
    <w:p>
      <w:pPr>
        <w:pStyle w:val="2"/>
        <w:spacing w:before="0"/>
        <w:rPr>
          <w:color w:val="000000" w:themeColor="text1"/>
          <w:sz w:val="20"/>
        </w:rPr>
      </w:pPr>
      <w:r>
        <w:rPr>
          <w:color w:val="000000" w:themeColor="text1"/>
          <w:sz w:val="20"/>
        </w:rPr>
        <w:t>七、交货期、交货方式及交货地点</w:t>
      </w:r>
    </w:p>
    <w:p>
      <w:pPr>
        <w:pStyle w:val="16"/>
        <w:numPr>
          <w:ilvl w:val="0"/>
          <w:numId w:val="6"/>
        </w:numPr>
        <w:tabs>
          <w:tab w:val="left" w:pos="522"/>
        </w:tabs>
        <w:spacing w:before="22"/>
        <w:ind w:hanging="170"/>
        <w:rPr>
          <w:color w:val="000000" w:themeColor="text1"/>
          <w:sz w:val="20"/>
        </w:rPr>
      </w:pPr>
      <w:r>
        <w:rPr>
          <w:color w:val="000000" w:themeColor="text1"/>
          <w:spacing w:val="-3"/>
          <w:sz w:val="20"/>
        </w:rPr>
        <w:t>交货期：合同签订后</w:t>
      </w:r>
      <w:r>
        <w:rPr>
          <w:rFonts w:hint="eastAsia"/>
          <w:color w:val="000000" w:themeColor="text1"/>
          <w:spacing w:val="-3"/>
          <w:sz w:val="20"/>
          <w:lang w:val="en-US"/>
        </w:rPr>
        <w:t xml:space="preserve"> 60 </w:t>
      </w:r>
      <w:r>
        <w:rPr>
          <w:color w:val="000000" w:themeColor="text1"/>
          <w:sz w:val="20"/>
        </w:rPr>
        <w:t>个工作日</w:t>
      </w:r>
    </w:p>
    <w:p>
      <w:pPr>
        <w:pStyle w:val="16"/>
        <w:numPr>
          <w:ilvl w:val="0"/>
          <w:numId w:val="6"/>
        </w:numPr>
        <w:tabs>
          <w:tab w:val="left" w:pos="522"/>
        </w:tabs>
        <w:ind w:hanging="170"/>
        <w:rPr>
          <w:color w:val="000000" w:themeColor="text1"/>
          <w:sz w:val="20"/>
        </w:rPr>
      </w:pPr>
      <w:r>
        <w:rPr>
          <w:color w:val="000000" w:themeColor="text1"/>
          <w:spacing w:val="-5"/>
          <w:sz w:val="20"/>
        </w:rPr>
        <w:t xml:space="preserve">交货方式： </w:t>
      </w:r>
      <w:r>
        <w:rPr>
          <w:rFonts w:hint="eastAsia"/>
          <w:color w:val="000000" w:themeColor="text1"/>
          <w:spacing w:val="-5"/>
          <w:sz w:val="20"/>
        </w:rPr>
        <w:t>按甲方指定地点</w:t>
      </w:r>
      <w:r>
        <w:rPr>
          <w:color w:val="000000" w:themeColor="text1"/>
          <w:sz w:val="20"/>
        </w:rPr>
        <w:t>送货上门</w:t>
      </w:r>
    </w:p>
    <w:p>
      <w:pPr>
        <w:pStyle w:val="16"/>
        <w:numPr>
          <w:ilvl w:val="0"/>
          <w:numId w:val="6"/>
        </w:numPr>
        <w:ind w:hanging="170"/>
        <w:rPr>
          <w:color w:val="000000" w:themeColor="text1"/>
          <w:sz w:val="20"/>
        </w:rPr>
      </w:pPr>
      <w:r>
        <w:rPr>
          <w:color w:val="000000" w:themeColor="text1"/>
          <w:spacing w:val="-11"/>
          <w:sz w:val="20"/>
        </w:rPr>
        <w:t xml:space="preserve">交货地点： </w:t>
      </w:r>
      <w:r>
        <w:rPr>
          <w:color w:val="000000" w:themeColor="text1"/>
          <w:sz w:val="20"/>
        </w:rPr>
        <w:t>浙江省温州市鹿城</w:t>
      </w:r>
      <w:r>
        <w:rPr>
          <w:rFonts w:hint="eastAsia"/>
          <w:color w:val="000000" w:themeColor="text1"/>
          <w:sz w:val="20"/>
        </w:rPr>
        <w:t>区南汇街道六虹桥路蛟尾路9号</w:t>
      </w:r>
    </w:p>
    <w:p>
      <w:pPr>
        <w:tabs>
          <w:tab w:val="left" w:pos="522"/>
        </w:tabs>
        <w:ind w:left="105" w:right="5480"/>
        <w:rPr>
          <w:b/>
          <w:bCs/>
          <w:color w:val="000000" w:themeColor="text1"/>
          <w:sz w:val="20"/>
          <w:szCs w:val="16"/>
        </w:rPr>
      </w:pPr>
      <w:r>
        <w:rPr>
          <w:b/>
          <w:color w:val="000000" w:themeColor="text1"/>
          <w:spacing w:val="10"/>
          <w:sz w:val="20"/>
        </w:rPr>
        <w:t>八、</w:t>
      </w:r>
      <w:r>
        <w:rPr>
          <w:rFonts w:hint="eastAsia"/>
          <w:b/>
          <w:bCs/>
          <w:color w:val="000000" w:themeColor="text1"/>
          <w:sz w:val="20"/>
          <w:szCs w:val="16"/>
        </w:rPr>
        <w:t>货款支付</w:t>
      </w:r>
    </w:p>
    <w:p>
      <w:pPr>
        <w:rPr>
          <w:color w:val="000000" w:themeColor="text1"/>
          <w:sz w:val="20"/>
        </w:rPr>
      </w:pPr>
      <w:r>
        <w:rPr>
          <w:rFonts w:hint="eastAsia"/>
          <w:color w:val="000000" w:themeColor="text1"/>
          <w:sz w:val="20"/>
        </w:rPr>
        <w:t>甲方按以下第1种方式支付乙方合同价款。</w:t>
      </w:r>
    </w:p>
    <w:p>
      <w:pPr>
        <w:pStyle w:val="3"/>
        <w:spacing w:before="21"/>
        <w:ind w:left="351"/>
        <w:rPr>
          <w:color w:val="000000" w:themeColor="text1"/>
          <w:sz w:val="20"/>
          <w:szCs w:val="16"/>
        </w:rPr>
      </w:pPr>
      <w:r>
        <w:rPr>
          <w:rFonts w:ascii="Verdana" w:eastAsia="Verdana"/>
          <w:color w:val="000000" w:themeColor="text1"/>
          <w:sz w:val="20"/>
          <w:szCs w:val="16"/>
        </w:rPr>
        <w:t>1</w:t>
      </w:r>
      <w:r>
        <w:rPr>
          <w:color w:val="000000" w:themeColor="text1"/>
          <w:sz w:val="20"/>
          <w:szCs w:val="16"/>
        </w:rPr>
        <w:t>、一次性支付：</w:t>
      </w:r>
    </w:p>
    <w:p>
      <w:pPr>
        <w:pStyle w:val="3"/>
        <w:tabs>
          <w:tab w:val="left" w:pos="4877"/>
        </w:tabs>
        <w:spacing w:before="71"/>
        <w:ind w:left="351"/>
        <w:rPr>
          <w:color w:val="000000" w:themeColor="text1"/>
          <w:sz w:val="20"/>
          <w:szCs w:val="16"/>
        </w:rPr>
      </w:pPr>
      <w:r>
        <w:rPr>
          <w:color w:val="000000" w:themeColor="text1"/>
          <w:sz w:val="20"/>
          <w:szCs w:val="16"/>
        </w:rPr>
        <w:t>本合同项下的全部货物安装调试完毕并经最终验收合格后</w:t>
      </w:r>
      <w:r>
        <w:rPr>
          <w:rFonts w:hint="eastAsia"/>
          <w:color w:val="000000" w:themeColor="text1"/>
          <w:sz w:val="20"/>
          <w:szCs w:val="16"/>
          <w:u w:val="single" w:color="4068E0"/>
          <w:lang w:val="en-US"/>
        </w:rPr>
        <w:t>90</w:t>
      </w:r>
      <w:r>
        <w:rPr>
          <w:color w:val="000000" w:themeColor="text1"/>
          <w:sz w:val="20"/>
          <w:szCs w:val="16"/>
          <w:u w:val="single" w:color="4068E0"/>
        </w:rPr>
        <w:tab/>
      </w:r>
      <w:r>
        <w:rPr>
          <w:color w:val="000000" w:themeColor="text1"/>
          <w:sz w:val="20"/>
          <w:szCs w:val="16"/>
        </w:rPr>
        <w:t>个工作日内，甲方向乙方支付全部合同价款。</w:t>
      </w:r>
    </w:p>
    <w:p>
      <w:pPr>
        <w:pStyle w:val="3"/>
        <w:spacing w:before="69"/>
        <w:ind w:left="351"/>
        <w:rPr>
          <w:color w:val="000000" w:themeColor="text1"/>
          <w:sz w:val="20"/>
          <w:szCs w:val="16"/>
        </w:rPr>
      </w:pPr>
      <w:r>
        <w:rPr>
          <w:rFonts w:ascii="Verdana" w:eastAsia="Verdana"/>
          <w:color w:val="000000" w:themeColor="text1"/>
          <w:sz w:val="20"/>
          <w:szCs w:val="16"/>
        </w:rPr>
        <w:t>2</w:t>
      </w:r>
      <w:r>
        <w:rPr>
          <w:color w:val="000000" w:themeColor="text1"/>
          <w:sz w:val="20"/>
          <w:szCs w:val="16"/>
        </w:rPr>
        <w:t>、分期支付：</w:t>
      </w:r>
    </w:p>
    <w:p>
      <w:pPr>
        <w:pStyle w:val="16"/>
        <w:numPr>
          <w:ilvl w:val="0"/>
          <w:numId w:val="7"/>
        </w:numPr>
        <w:tabs>
          <w:tab w:val="left" w:pos="797"/>
          <w:tab w:val="left" w:pos="2800"/>
          <w:tab w:val="left" w:pos="5814"/>
          <w:tab w:val="left" w:pos="7603"/>
          <w:tab w:val="left" w:pos="8599"/>
        </w:tabs>
        <w:spacing w:before="69"/>
        <w:ind w:hanging="445"/>
        <w:rPr>
          <w:color w:val="000000" w:themeColor="text1"/>
          <w:sz w:val="20"/>
          <w:szCs w:val="16"/>
        </w:rPr>
      </w:pPr>
      <w:r>
        <w:rPr>
          <w:color w:val="000000" w:themeColor="text1"/>
          <w:sz w:val="20"/>
          <w:szCs w:val="16"/>
        </w:rPr>
        <w:t>甲方应于本合同生效后</w:t>
      </w:r>
      <w:r>
        <w:rPr>
          <w:rFonts w:hint="eastAsia"/>
          <w:color w:val="000000" w:themeColor="text1"/>
          <w:sz w:val="20"/>
          <w:szCs w:val="16"/>
          <w:u w:val="single" w:color="4068E0"/>
          <w:lang w:val="en-US"/>
        </w:rPr>
        <w:t>/</w:t>
      </w:r>
      <w:r>
        <w:rPr>
          <w:color w:val="000000" w:themeColor="text1"/>
          <w:sz w:val="20"/>
          <w:szCs w:val="16"/>
        </w:rPr>
        <w:t>个工作日内向乙方支付合同总价款的</w:t>
      </w:r>
      <w:r>
        <w:rPr>
          <w:rFonts w:hint="eastAsia"/>
          <w:color w:val="000000" w:themeColor="text1"/>
          <w:sz w:val="20"/>
          <w:szCs w:val="16"/>
          <w:u w:val="single" w:color="4068E0"/>
          <w:lang w:val="en-US"/>
        </w:rPr>
        <w:t>/</w:t>
      </w:r>
      <w:r>
        <w:rPr>
          <w:rFonts w:ascii="Verdana" w:hAnsi="Verdana" w:eastAsia="Verdana"/>
          <w:color w:val="000000" w:themeColor="text1"/>
          <w:sz w:val="20"/>
          <w:szCs w:val="16"/>
        </w:rPr>
        <w:t>%</w:t>
      </w:r>
      <w:r>
        <w:rPr>
          <w:color w:val="000000" w:themeColor="text1"/>
          <w:sz w:val="20"/>
          <w:szCs w:val="16"/>
        </w:rPr>
        <w:t>作为预付款，计</w:t>
      </w:r>
      <w:r>
        <w:rPr>
          <w:rFonts w:ascii="Verdana" w:hAnsi="Verdana" w:eastAsia="Verdana"/>
          <w:color w:val="000000" w:themeColor="text1"/>
          <w:sz w:val="20"/>
          <w:szCs w:val="16"/>
        </w:rPr>
        <w:t>¥</w:t>
      </w:r>
      <w:r>
        <w:rPr>
          <w:rFonts w:hint="eastAsia" w:ascii="Verdana" w:hAnsi="Verdana"/>
          <w:color w:val="000000" w:themeColor="text1"/>
          <w:sz w:val="20"/>
          <w:szCs w:val="16"/>
          <w:u w:val="single" w:color="4068E0"/>
          <w:lang w:val="en-US"/>
        </w:rPr>
        <w:t>/</w:t>
      </w:r>
      <w:r>
        <w:rPr>
          <w:color w:val="000000" w:themeColor="text1"/>
          <w:sz w:val="20"/>
          <w:szCs w:val="16"/>
        </w:rPr>
        <w:t>元（大写</w:t>
      </w:r>
      <w:r>
        <w:rPr>
          <w:rFonts w:hint="eastAsia"/>
          <w:color w:val="000000" w:themeColor="text1"/>
          <w:sz w:val="20"/>
          <w:szCs w:val="16"/>
          <w:u w:val="single" w:color="4068E0"/>
          <w:lang w:val="en-US"/>
        </w:rPr>
        <w:t>/</w:t>
      </w:r>
      <w:r>
        <w:rPr>
          <w:color w:val="000000" w:themeColor="text1"/>
          <w:sz w:val="20"/>
          <w:szCs w:val="16"/>
        </w:rPr>
        <w:t>元整）；</w:t>
      </w:r>
    </w:p>
    <w:p>
      <w:pPr>
        <w:pStyle w:val="16"/>
        <w:numPr>
          <w:ilvl w:val="0"/>
          <w:numId w:val="7"/>
        </w:numPr>
        <w:tabs>
          <w:tab w:val="left" w:pos="797"/>
          <w:tab w:val="left" w:pos="2632"/>
          <w:tab w:val="left" w:pos="6150"/>
          <w:tab w:val="left" w:pos="7098"/>
          <w:tab w:val="left" w:pos="8095"/>
        </w:tabs>
        <w:spacing w:before="118"/>
        <w:ind w:hanging="445"/>
        <w:rPr>
          <w:color w:val="000000" w:themeColor="text1"/>
          <w:sz w:val="28"/>
        </w:rPr>
      </w:pPr>
      <w:r>
        <w:rPr>
          <w:color w:val="000000" w:themeColor="text1"/>
          <w:sz w:val="20"/>
          <w:szCs w:val="16"/>
        </w:rPr>
        <w:t>全部货物验收合格后</w:t>
      </w:r>
      <w:r>
        <w:rPr>
          <w:rFonts w:hint="eastAsia"/>
          <w:color w:val="000000" w:themeColor="text1"/>
          <w:sz w:val="20"/>
          <w:szCs w:val="16"/>
          <w:u w:val="single" w:color="4068E0"/>
          <w:lang w:val="en-US"/>
        </w:rPr>
        <w:t>/</w:t>
      </w:r>
      <w:r>
        <w:rPr>
          <w:color w:val="000000" w:themeColor="text1"/>
          <w:sz w:val="20"/>
          <w:szCs w:val="16"/>
        </w:rPr>
        <w:t>个工作日内，甲方向乙方支付合同总价款的</w:t>
      </w:r>
      <w:r>
        <w:rPr>
          <w:rFonts w:hint="eastAsia"/>
          <w:color w:val="000000" w:themeColor="text1"/>
          <w:sz w:val="20"/>
          <w:szCs w:val="16"/>
          <w:u w:val="single" w:color="4068E0"/>
          <w:lang w:val="en-US"/>
        </w:rPr>
        <w:t>/</w:t>
      </w:r>
      <w:r>
        <w:rPr>
          <w:rFonts w:ascii="Verdana" w:hAnsi="Verdana" w:eastAsia="Verdana"/>
          <w:color w:val="000000" w:themeColor="text1"/>
          <w:sz w:val="20"/>
          <w:szCs w:val="16"/>
        </w:rPr>
        <w:t>%</w:t>
      </w:r>
      <w:r>
        <w:rPr>
          <w:color w:val="000000" w:themeColor="text1"/>
          <w:sz w:val="20"/>
          <w:szCs w:val="16"/>
        </w:rPr>
        <w:t>，计</w:t>
      </w:r>
      <w:r>
        <w:rPr>
          <w:rFonts w:ascii="Verdana" w:hAnsi="Verdana" w:eastAsia="Verdana"/>
          <w:color w:val="000000" w:themeColor="text1"/>
          <w:sz w:val="20"/>
          <w:szCs w:val="16"/>
        </w:rPr>
        <w:t>¥</w:t>
      </w:r>
      <w:r>
        <w:rPr>
          <w:rFonts w:hint="eastAsia" w:ascii="Verdana" w:hAnsi="Verdana"/>
          <w:color w:val="000000" w:themeColor="text1"/>
          <w:sz w:val="20"/>
          <w:szCs w:val="16"/>
          <w:u w:val="single" w:color="4068E0"/>
          <w:lang w:val="en-US"/>
        </w:rPr>
        <w:t>/</w:t>
      </w:r>
      <w:r>
        <w:rPr>
          <w:color w:val="000000" w:themeColor="text1"/>
          <w:sz w:val="20"/>
          <w:szCs w:val="16"/>
        </w:rPr>
        <w:t>元（大写</w:t>
      </w:r>
      <w:r>
        <w:rPr>
          <w:rFonts w:hint="eastAsia"/>
          <w:color w:val="000000" w:themeColor="text1"/>
          <w:sz w:val="20"/>
          <w:szCs w:val="16"/>
          <w:u w:val="single" w:color="4068E0"/>
          <w:lang w:val="en-US"/>
        </w:rPr>
        <w:t>/</w:t>
      </w:r>
      <w:r>
        <w:rPr>
          <w:color w:val="000000" w:themeColor="text1"/>
          <w:sz w:val="20"/>
          <w:szCs w:val="16"/>
        </w:rPr>
        <w:t>元整）。</w:t>
      </w:r>
    </w:p>
    <w:p>
      <w:pPr>
        <w:pStyle w:val="2"/>
        <w:spacing w:before="166"/>
        <w:rPr>
          <w:color w:val="000000" w:themeColor="text1"/>
          <w:sz w:val="20"/>
        </w:rPr>
      </w:pPr>
      <w:r>
        <w:rPr>
          <w:color w:val="000000" w:themeColor="text1"/>
          <w:sz w:val="20"/>
        </w:rPr>
        <w:t>九、税费</w:t>
      </w:r>
    </w:p>
    <w:p>
      <w:pPr>
        <w:pStyle w:val="3"/>
        <w:spacing w:before="23"/>
        <w:ind w:left="351"/>
        <w:rPr>
          <w:color w:val="000000" w:themeColor="text1"/>
          <w:sz w:val="20"/>
        </w:rPr>
      </w:pPr>
      <w:r>
        <w:rPr>
          <w:color w:val="000000" w:themeColor="text1"/>
          <w:sz w:val="20"/>
        </w:rPr>
        <w:t>本合同执行中相关的一切税费均由乙方负担。</w:t>
      </w:r>
    </w:p>
    <w:p>
      <w:pPr>
        <w:pStyle w:val="2"/>
        <w:rPr>
          <w:color w:val="000000" w:themeColor="text1"/>
          <w:sz w:val="20"/>
        </w:rPr>
      </w:pPr>
      <w:r>
        <w:rPr>
          <w:color w:val="000000" w:themeColor="text1"/>
          <w:sz w:val="20"/>
        </w:rPr>
        <w:t>十、质量保证及售后服务</w:t>
      </w:r>
    </w:p>
    <w:p>
      <w:pPr>
        <w:pStyle w:val="16"/>
        <w:numPr>
          <w:ilvl w:val="0"/>
          <w:numId w:val="8"/>
        </w:numPr>
        <w:tabs>
          <w:tab w:val="left" w:pos="522"/>
        </w:tabs>
        <w:rPr>
          <w:color w:val="000000" w:themeColor="text1"/>
          <w:sz w:val="20"/>
        </w:rPr>
      </w:pPr>
      <w:r>
        <w:rPr>
          <w:color w:val="000000" w:themeColor="text1"/>
          <w:sz w:val="20"/>
        </w:rPr>
        <w:t>乙方保证本合同中所供应的商品是最新生产的符合国家技术规格和质量标准的出厂原装</w:t>
      </w:r>
      <w:r>
        <w:rPr>
          <w:rFonts w:hint="eastAsia"/>
          <w:color w:val="000000" w:themeColor="text1"/>
          <w:sz w:val="20"/>
        </w:rPr>
        <w:t>的</w:t>
      </w:r>
      <w:r>
        <w:rPr>
          <w:color w:val="000000" w:themeColor="text1"/>
          <w:sz w:val="20"/>
        </w:rPr>
        <w:t>合格产品。如发生所供商品与合同不符，甲方</w:t>
      </w:r>
      <w:r>
        <w:rPr>
          <w:rFonts w:hint="eastAsia"/>
          <w:color w:val="000000" w:themeColor="text1"/>
          <w:sz w:val="20"/>
        </w:rPr>
        <w:t>（采购单位）有权拒收或退货，由此产生的一切责任和后果由乙方承担。</w:t>
      </w:r>
    </w:p>
    <w:p>
      <w:pPr>
        <w:pStyle w:val="16"/>
        <w:numPr>
          <w:ilvl w:val="0"/>
          <w:numId w:val="8"/>
        </w:numPr>
        <w:tabs>
          <w:tab w:val="left" w:pos="522"/>
        </w:tabs>
        <w:ind w:hanging="170"/>
        <w:rPr>
          <w:color w:val="000000" w:themeColor="text1"/>
          <w:sz w:val="20"/>
        </w:rPr>
      </w:pPr>
      <w:r>
        <w:rPr>
          <w:color w:val="000000" w:themeColor="text1"/>
          <w:sz w:val="20"/>
        </w:rPr>
        <w:t>乙方提供的货物在质保期内因货物本身的质量问题发生故障，乙方应负责免费更换。对达不到技术要求者，根据实际情况，经双方协商，可按以下办法处理：</w:t>
      </w:r>
    </w:p>
    <w:p>
      <w:pPr>
        <w:pStyle w:val="16"/>
        <w:numPr>
          <w:ilvl w:val="0"/>
          <w:numId w:val="9"/>
        </w:numPr>
        <w:tabs>
          <w:tab w:val="left" w:pos="797"/>
        </w:tabs>
        <w:spacing w:before="0"/>
        <w:ind w:hanging="445"/>
        <w:rPr>
          <w:color w:val="000000" w:themeColor="text1"/>
          <w:sz w:val="20"/>
        </w:rPr>
      </w:pPr>
      <w:r>
        <w:rPr>
          <w:color w:val="000000" w:themeColor="text1"/>
          <w:sz w:val="20"/>
        </w:rPr>
        <w:t>更换：由乙方承担所发生的全部费用。</w:t>
      </w:r>
    </w:p>
    <w:p>
      <w:pPr>
        <w:pStyle w:val="16"/>
        <w:numPr>
          <w:ilvl w:val="0"/>
          <w:numId w:val="9"/>
        </w:numPr>
        <w:tabs>
          <w:tab w:val="left" w:pos="797"/>
        </w:tabs>
        <w:spacing w:before="22"/>
        <w:ind w:hanging="445"/>
        <w:rPr>
          <w:color w:val="000000" w:themeColor="text1"/>
          <w:sz w:val="20"/>
        </w:rPr>
      </w:pPr>
      <w:r>
        <w:rPr>
          <w:color w:val="000000" w:themeColor="text1"/>
          <w:sz w:val="20"/>
        </w:rPr>
        <w:t>贬值处理：由甲乙双方合议定价。</w:t>
      </w:r>
    </w:p>
    <w:p>
      <w:pPr>
        <w:pStyle w:val="16"/>
        <w:numPr>
          <w:ilvl w:val="0"/>
          <w:numId w:val="9"/>
        </w:numPr>
        <w:tabs>
          <w:tab w:val="left" w:pos="797"/>
        </w:tabs>
        <w:ind w:hanging="445"/>
        <w:rPr>
          <w:color w:val="000000" w:themeColor="text1"/>
          <w:sz w:val="20"/>
        </w:rPr>
      </w:pPr>
      <w:r>
        <w:rPr>
          <w:color w:val="000000" w:themeColor="text1"/>
          <w:sz w:val="20"/>
        </w:rPr>
        <w:t>退货处理：乙方应退还甲方支付的合同款，同时应承担该货物的直接费用（运输、保险、检验、货款利息及银行手续费等）。</w:t>
      </w:r>
    </w:p>
    <w:p>
      <w:pPr>
        <w:pStyle w:val="16"/>
        <w:numPr>
          <w:ilvl w:val="0"/>
          <w:numId w:val="8"/>
        </w:numPr>
        <w:tabs>
          <w:tab w:val="left" w:pos="522"/>
        </w:tabs>
        <w:spacing w:before="22"/>
        <w:rPr>
          <w:color w:val="000000" w:themeColor="text1"/>
          <w:sz w:val="20"/>
        </w:rPr>
      </w:pPr>
      <w:r>
        <w:rPr>
          <w:color w:val="000000" w:themeColor="text1"/>
          <w:sz w:val="20"/>
        </w:rPr>
        <w:t>在质保期内，乙方应对货物出现的质量及安全问题负责处理解决并承担一切费用。</w:t>
      </w:r>
    </w:p>
    <w:p>
      <w:pPr>
        <w:pStyle w:val="16"/>
        <w:numPr>
          <w:ilvl w:val="0"/>
          <w:numId w:val="8"/>
        </w:numPr>
        <w:tabs>
          <w:tab w:val="left" w:pos="522"/>
        </w:tabs>
        <w:spacing w:before="22"/>
        <w:rPr>
          <w:color w:val="000000" w:themeColor="text1"/>
          <w:sz w:val="20"/>
        </w:rPr>
      </w:pPr>
      <w:r>
        <w:rPr>
          <w:rFonts w:hint="eastAsia"/>
          <w:color w:val="000000" w:themeColor="text1"/>
          <w:sz w:val="20"/>
        </w:rPr>
        <w:t>上述的货物在质保期内免费保修，因人为因素出现的故障不在免费保修范围内。超过保修期的机器设备，终生维修，维修时只收部件成本费。乙方应当在甲方通知维修后2日内到达货物所在地进行维修。</w:t>
      </w:r>
    </w:p>
    <w:p>
      <w:pPr>
        <w:pStyle w:val="2"/>
        <w:spacing w:before="85"/>
        <w:rPr>
          <w:color w:val="000000" w:themeColor="text1"/>
          <w:sz w:val="20"/>
        </w:rPr>
      </w:pPr>
      <w:r>
        <w:rPr>
          <w:color w:val="000000" w:themeColor="text1"/>
          <w:sz w:val="20"/>
        </w:rPr>
        <w:t>十一、调试和验收</w:t>
      </w:r>
    </w:p>
    <w:p>
      <w:pPr>
        <w:pStyle w:val="16"/>
        <w:numPr>
          <w:ilvl w:val="0"/>
          <w:numId w:val="10"/>
        </w:numPr>
        <w:tabs>
          <w:tab w:val="left" w:pos="522"/>
        </w:tabs>
        <w:spacing w:before="106"/>
        <w:ind w:hanging="170"/>
        <w:rPr>
          <w:color w:val="000000" w:themeColor="text1"/>
          <w:sz w:val="20"/>
        </w:rPr>
      </w:pPr>
      <w:r>
        <w:rPr>
          <w:color w:val="000000" w:themeColor="text1"/>
          <w:sz w:val="20"/>
        </w:rPr>
        <w:t>甲方对乙方提交的货物依据招标文件上的技术规格要求和国家有关质量标准进行现场验收。货到后，甲方需在</w:t>
      </w:r>
      <w:r>
        <w:rPr>
          <w:rFonts w:hint="eastAsia"/>
          <w:color w:val="000000" w:themeColor="text1"/>
          <w:sz w:val="20"/>
        </w:rPr>
        <w:t>二十</w:t>
      </w:r>
      <w:r>
        <w:rPr>
          <w:color w:val="000000" w:themeColor="text1"/>
          <w:sz w:val="20"/>
        </w:rPr>
        <w:t>个工作日内验收</w:t>
      </w:r>
      <w:r>
        <w:rPr>
          <w:rFonts w:hint="eastAsia"/>
          <w:color w:val="000000" w:themeColor="text1"/>
          <w:sz w:val="20"/>
        </w:rPr>
        <w:t>（质量等隐蔽瑕疵除外）。</w:t>
      </w:r>
    </w:p>
    <w:p>
      <w:pPr>
        <w:pStyle w:val="16"/>
        <w:numPr>
          <w:ilvl w:val="0"/>
          <w:numId w:val="10"/>
        </w:numPr>
        <w:tabs>
          <w:tab w:val="left" w:pos="522"/>
        </w:tabs>
        <w:ind w:left="111" w:right="101" w:firstLine="240"/>
        <w:rPr>
          <w:color w:val="000000" w:themeColor="text1"/>
          <w:sz w:val="20"/>
        </w:rPr>
      </w:pPr>
      <w:r>
        <w:rPr>
          <w:color w:val="000000" w:themeColor="text1"/>
          <w:sz w:val="20"/>
        </w:rPr>
        <w:t>乙方交货前应对产品作出全面检查和对验收文件进行整理，并列出清单，作为甲方收货验收和使用的技术条件依据，检验的结果应随货物交甲方。</w:t>
      </w:r>
    </w:p>
    <w:p>
      <w:pPr>
        <w:pStyle w:val="16"/>
        <w:numPr>
          <w:ilvl w:val="0"/>
          <w:numId w:val="10"/>
        </w:numPr>
        <w:tabs>
          <w:tab w:val="left" w:pos="522"/>
        </w:tabs>
        <w:spacing w:before="0"/>
        <w:ind w:left="111" w:right="101" w:firstLine="240"/>
        <w:rPr>
          <w:color w:val="000000" w:themeColor="text1"/>
          <w:sz w:val="20"/>
        </w:rPr>
      </w:pPr>
      <w:r>
        <w:rPr>
          <w:color w:val="000000" w:themeColor="text1"/>
          <w:sz w:val="20"/>
        </w:rPr>
        <w:t>甲方对乙方提供的货物在使用前进行调试时，乙方需负责安装并培训甲方的使用操作人员，并协助甲方一起调试，直到符合技术要求，    甲方才做最终验收。</w:t>
      </w:r>
    </w:p>
    <w:p>
      <w:pPr>
        <w:pStyle w:val="16"/>
        <w:numPr>
          <w:ilvl w:val="0"/>
          <w:numId w:val="10"/>
        </w:numPr>
        <w:tabs>
          <w:tab w:val="left" w:pos="522"/>
        </w:tabs>
        <w:spacing w:before="0"/>
        <w:ind w:hanging="170"/>
        <w:rPr>
          <w:color w:val="000000" w:themeColor="text1"/>
          <w:sz w:val="20"/>
        </w:rPr>
      </w:pPr>
      <w:r>
        <w:rPr>
          <w:color w:val="000000" w:themeColor="text1"/>
          <w:sz w:val="20"/>
        </w:rPr>
        <w:t>对技术复杂的货物，甲方应请国家认可的专业检测机构参与验收，并由其出具质量检测报告。</w:t>
      </w:r>
    </w:p>
    <w:p>
      <w:pPr>
        <w:pStyle w:val="16"/>
        <w:numPr>
          <w:ilvl w:val="0"/>
          <w:numId w:val="10"/>
        </w:numPr>
        <w:tabs>
          <w:tab w:val="left" w:pos="522"/>
        </w:tabs>
        <w:spacing w:before="22"/>
        <w:ind w:hanging="170"/>
        <w:rPr>
          <w:color w:val="000000" w:themeColor="text1"/>
          <w:sz w:val="20"/>
        </w:rPr>
      </w:pPr>
      <w:r>
        <w:rPr>
          <w:color w:val="000000" w:themeColor="text1"/>
          <w:sz w:val="20"/>
        </w:rPr>
        <w:t>验收时乙方必须在现场，验收完毕后作出验收结果报告；验收费用由乙方负责。</w:t>
      </w:r>
    </w:p>
    <w:p>
      <w:pPr>
        <w:pStyle w:val="2"/>
        <w:rPr>
          <w:color w:val="000000" w:themeColor="text1"/>
          <w:sz w:val="20"/>
        </w:rPr>
      </w:pPr>
      <w:r>
        <w:rPr>
          <w:color w:val="000000" w:themeColor="text1"/>
          <w:sz w:val="20"/>
        </w:rPr>
        <w:t>十二、货物包装</w:t>
      </w:r>
    </w:p>
    <w:p>
      <w:pPr>
        <w:pStyle w:val="16"/>
        <w:numPr>
          <w:ilvl w:val="0"/>
          <w:numId w:val="11"/>
        </w:numPr>
        <w:tabs>
          <w:tab w:val="left" w:pos="522"/>
        </w:tabs>
        <w:spacing w:before="22"/>
        <w:rPr>
          <w:color w:val="000000" w:themeColor="text1"/>
          <w:sz w:val="20"/>
        </w:rPr>
      </w:pPr>
      <w:r>
        <w:rPr>
          <w:color w:val="000000" w:themeColor="text1"/>
          <w:sz w:val="20"/>
        </w:rPr>
        <w:t>乙方应在货物发运前对其进行满足运输距离、防潮、防震、防锈和防破损装卸等要求包装，以保证货物安全运达甲方指定地点。</w:t>
      </w:r>
    </w:p>
    <w:p>
      <w:pPr>
        <w:pStyle w:val="16"/>
        <w:numPr>
          <w:ilvl w:val="0"/>
          <w:numId w:val="11"/>
        </w:numPr>
        <w:tabs>
          <w:tab w:val="left" w:pos="522"/>
        </w:tabs>
        <w:spacing w:before="22"/>
        <w:rPr>
          <w:color w:val="000000" w:themeColor="text1"/>
          <w:sz w:val="20"/>
        </w:rPr>
      </w:pPr>
      <w:r>
        <w:rPr>
          <w:rFonts w:hint="eastAsia"/>
          <w:color w:val="000000" w:themeColor="text1"/>
          <w:sz w:val="20"/>
        </w:rPr>
        <w:tab/>
      </w:r>
      <w:r>
        <w:rPr>
          <w:rFonts w:hint="eastAsia"/>
          <w:color w:val="000000" w:themeColor="text1"/>
          <w:sz w:val="20"/>
        </w:rPr>
        <w:t>使用说明书、质量检验证明书、随配附件和工具以及清单一并附于货物内。</w:t>
      </w:r>
    </w:p>
    <w:p>
      <w:pPr>
        <w:pStyle w:val="16"/>
        <w:tabs>
          <w:tab w:val="left" w:pos="522"/>
        </w:tabs>
        <w:ind w:left="0" w:right="4471" w:firstLine="0"/>
        <w:rPr>
          <w:b/>
          <w:color w:val="000000" w:themeColor="text1"/>
          <w:sz w:val="20"/>
        </w:rPr>
      </w:pPr>
      <w:r>
        <w:rPr>
          <w:rFonts w:hint="eastAsia"/>
          <w:b/>
          <w:color w:val="000000" w:themeColor="text1"/>
          <w:spacing w:val="10"/>
          <w:sz w:val="20"/>
        </w:rPr>
        <w:t>十</w:t>
      </w:r>
      <w:r>
        <w:rPr>
          <w:b/>
          <w:color w:val="000000" w:themeColor="text1"/>
          <w:spacing w:val="10"/>
          <w:sz w:val="20"/>
        </w:rPr>
        <w:t>三、违约责任</w:t>
      </w:r>
    </w:p>
    <w:p>
      <w:pPr>
        <w:pStyle w:val="16"/>
        <w:numPr>
          <w:ilvl w:val="0"/>
          <w:numId w:val="12"/>
        </w:numPr>
        <w:tabs>
          <w:tab w:val="left" w:pos="522"/>
        </w:tabs>
        <w:spacing w:before="0"/>
        <w:ind w:hanging="170"/>
        <w:rPr>
          <w:color w:val="000000" w:themeColor="text1"/>
          <w:sz w:val="20"/>
        </w:rPr>
      </w:pPr>
      <w:r>
        <w:rPr>
          <w:color w:val="000000" w:themeColor="text1"/>
          <w:sz w:val="20"/>
        </w:rPr>
        <w:t>甲方无正当理由拒收货物的，甲方向乙方偿付拒收货款总值的</w:t>
      </w:r>
      <w:r>
        <w:rPr>
          <w:color w:val="000000" w:themeColor="text1"/>
          <w:spacing w:val="3"/>
          <w:sz w:val="20"/>
          <w:u w:val="single" w:color="4068E0"/>
        </w:rPr>
        <w:t xml:space="preserve"> 百分之五</w:t>
      </w:r>
      <w:r>
        <w:rPr>
          <w:color w:val="000000" w:themeColor="text1"/>
          <w:sz w:val="20"/>
        </w:rPr>
        <w:t>违约金。</w:t>
      </w:r>
    </w:p>
    <w:p>
      <w:pPr>
        <w:pStyle w:val="16"/>
        <w:numPr>
          <w:ilvl w:val="0"/>
          <w:numId w:val="12"/>
        </w:numPr>
        <w:tabs>
          <w:tab w:val="left" w:pos="522"/>
        </w:tabs>
        <w:spacing w:before="117"/>
        <w:ind w:hanging="170"/>
        <w:rPr>
          <w:color w:val="000000" w:themeColor="text1"/>
          <w:sz w:val="20"/>
        </w:rPr>
      </w:pPr>
      <w:r>
        <w:rPr>
          <w:color w:val="000000" w:themeColor="text1"/>
          <w:sz w:val="20"/>
        </w:rPr>
        <w:t>甲方无故逾期验收和办理货款支付手续的</w:t>
      </w:r>
      <w:r>
        <w:rPr>
          <w:rFonts w:ascii="Verdana" w:eastAsia="Verdana"/>
          <w:color w:val="000000" w:themeColor="text1"/>
          <w:sz w:val="20"/>
        </w:rPr>
        <w:t>,</w:t>
      </w:r>
      <w:r>
        <w:rPr>
          <w:color w:val="000000" w:themeColor="text1"/>
          <w:sz w:val="20"/>
        </w:rPr>
        <w:t>甲方应按逾期付款总额每日</w:t>
      </w:r>
      <w:r>
        <w:rPr>
          <w:color w:val="000000" w:themeColor="text1"/>
          <w:spacing w:val="2"/>
          <w:sz w:val="20"/>
          <w:u w:val="single" w:color="4068E0"/>
        </w:rPr>
        <w:t xml:space="preserve"> 万分之五</w:t>
      </w:r>
      <w:r>
        <w:rPr>
          <w:color w:val="000000" w:themeColor="text1"/>
          <w:sz w:val="20"/>
        </w:rPr>
        <w:t>向乙方支付违约金。</w:t>
      </w:r>
    </w:p>
    <w:p>
      <w:pPr>
        <w:pStyle w:val="16"/>
        <w:numPr>
          <w:ilvl w:val="0"/>
          <w:numId w:val="12"/>
        </w:numPr>
        <w:tabs>
          <w:tab w:val="left" w:pos="522"/>
        </w:tabs>
        <w:spacing w:before="118"/>
        <w:rPr>
          <w:color w:val="000000" w:themeColor="text1"/>
          <w:sz w:val="20"/>
        </w:rPr>
      </w:pPr>
      <w:r>
        <w:rPr>
          <w:color w:val="000000" w:themeColor="text1"/>
          <w:sz w:val="20"/>
        </w:rPr>
        <w:t>乙方逾期交付货物的，乙方应按逾期交货总额每日</w:t>
      </w:r>
      <w:r>
        <w:rPr>
          <w:color w:val="000000" w:themeColor="text1"/>
          <w:spacing w:val="15"/>
          <w:sz w:val="20"/>
          <w:u w:val="single" w:color="4068E0"/>
        </w:rPr>
        <w:t xml:space="preserve"> 千分之六</w:t>
      </w:r>
      <w:r>
        <w:rPr>
          <w:color w:val="000000" w:themeColor="text1"/>
          <w:sz w:val="20"/>
        </w:rPr>
        <w:t>向甲方支付违约金，由甲方从待付货款中扣除。逾期超过约定日期</w:t>
      </w:r>
      <w:r>
        <w:rPr>
          <w:rFonts w:hint="eastAsia"/>
          <w:color w:val="000000" w:themeColor="text1"/>
          <w:sz w:val="20"/>
        </w:rPr>
        <w:t xml:space="preserve">   10 个工作日不能交货的，甲方可解除本合同。乙方因逾期交货或因其他违约行为导致甲方解除合同的，乙方应向甲方支付合同总值</w:t>
      </w:r>
      <w:r>
        <w:rPr>
          <w:rFonts w:hint="eastAsia"/>
          <w:color w:val="000000" w:themeColor="text1"/>
          <w:sz w:val="20"/>
          <w:u w:val="single"/>
        </w:rPr>
        <w:t xml:space="preserve"> 5</w:t>
      </w:r>
      <w:r>
        <w:rPr>
          <w:rFonts w:hint="eastAsia"/>
          <w:color w:val="000000" w:themeColor="text1"/>
          <w:sz w:val="20"/>
        </w:rPr>
        <w:t>%的违约金，如造成甲方损失超过违约金的，超出部分由乙方继续承担赔偿责任。</w:t>
      </w:r>
    </w:p>
    <w:p>
      <w:pPr>
        <w:pStyle w:val="16"/>
        <w:numPr>
          <w:ilvl w:val="0"/>
          <w:numId w:val="12"/>
        </w:numPr>
        <w:rPr>
          <w:color w:val="000000" w:themeColor="text1"/>
          <w:sz w:val="20"/>
        </w:rPr>
      </w:pPr>
      <w:r>
        <w:rPr>
          <w:rFonts w:hint="eastAsia"/>
          <w:color w:val="000000" w:themeColor="text1"/>
          <w:sz w:val="20"/>
        </w:rPr>
        <w:t>乙方所交的货物品种、型号、规格、技术参数、质量不符合合同规定及招标文件规定标准的，甲方有权拒收该货物，乙方愿意更换货物，但逾期交货的，按乙方逾期交货处理。乙方拒绝更换货物的，甲方可单方面解除合同。</w:t>
      </w:r>
    </w:p>
    <w:p>
      <w:pPr>
        <w:pStyle w:val="2"/>
        <w:spacing w:before="85"/>
        <w:rPr>
          <w:color w:val="000000" w:themeColor="text1"/>
          <w:sz w:val="20"/>
        </w:rPr>
      </w:pPr>
      <w:r>
        <w:rPr>
          <w:color w:val="000000" w:themeColor="text1"/>
          <w:sz w:val="20"/>
        </w:rPr>
        <w:t>十四、不可抗力事件处理</w:t>
      </w:r>
    </w:p>
    <w:p>
      <w:pPr>
        <w:pStyle w:val="16"/>
        <w:numPr>
          <w:ilvl w:val="0"/>
          <w:numId w:val="13"/>
        </w:numPr>
        <w:tabs>
          <w:tab w:val="left" w:pos="522"/>
        </w:tabs>
        <w:spacing w:before="106"/>
        <w:ind w:hanging="170"/>
        <w:rPr>
          <w:color w:val="000000" w:themeColor="text1"/>
          <w:sz w:val="20"/>
        </w:rPr>
      </w:pPr>
      <w:r>
        <w:rPr>
          <w:color w:val="000000" w:themeColor="text1"/>
          <w:sz w:val="20"/>
        </w:rPr>
        <w:t>在合同有效期内，任何一方因不可抗力事件导致不能履行合同，</w:t>
      </w:r>
      <w:r>
        <w:rPr>
          <w:rFonts w:hint="eastAsia"/>
          <w:color w:val="000000" w:themeColor="text1"/>
          <w:sz w:val="20"/>
        </w:rPr>
        <w:t>双方协商后，</w:t>
      </w:r>
      <w:r>
        <w:rPr>
          <w:color w:val="000000" w:themeColor="text1"/>
          <w:sz w:val="20"/>
        </w:rPr>
        <w:t>则合同履行期可延长，其延长期与不可抗力影响期相同。</w:t>
      </w:r>
    </w:p>
    <w:p>
      <w:pPr>
        <w:pStyle w:val="16"/>
        <w:numPr>
          <w:ilvl w:val="0"/>
          <w:numId w:val="13"/>
        </w:numPr>
        <w:tabs>
          <w:tab w:val="left" w:pos="522"/>
        </w:tabs>
        <w:ind w:hanging="170"/>
        <w:rPr>
          <w:color w:val="000000" w:themeColor="text1"/>
          <w:sz w:val="20"/>
        </w:rPr>
      </w:pPr>
      <w:r>
        <w:rPr>
          <w:color w:val="000000" w:themeColor="text1"/>
          <w:sz w:val="20"/>
        </w:rPr>
        <w:t>不可抗力事件发生后，应立即通知对方，并寄送有关权威机构出具的证明。</w:t>
      </w:r>
    </w:p>
    <w:p>
      <w:pPr>
        <w:pStyle w:val="16"/>
        <w:numPr>
          <w:ilvl w:val="0"/>
          <w:numId w:val="13"/>
        </w:numPr>
        <w:tabs>
          <w:tab w:val="left" w:pos="522"/>
        </w:tabs>
        <w:spacing w:before="22"/>
        <w:ind w:hanging="170"/>
        <w:rPr>
          <w:color w:val="000000" w:themeColor="text1"/>
          <w:sz w:val="20"/>
        </w:rPr>
      </w:pPr>
      <w:r>
        <w:rPr>
          <w:color w:val="000000" w:themeColor="text1"/>
          <w:spacing w:val="-3"/>
          <w:sz w:val="20"/>
        </w:rPr>
        <w:t xml:space="preserve">不可抗力事件延续 </w:t>
      </w:r>
      <w:r>
        <w:rPr>
          <w:color w:val="000000" w:themeColor="text1"/>
          <w:sz w:val="20"/>
        </w:rPr>
        <w:t>120天以上，双方</w:t>
      </w:r>
      <w:r>
        <w:rPr>
          <w:rFonts w:hint="eastAsia"/>
          <w:color w:val="000000" w:themeColor="text1"/>
          <w:sz w:val="20"/>
        </w:rPr>
        <w:t>可以</w:t>
      </w:r>
      <w:r>
        <w:rPr>
          <w:color w:val="000000" w:themeColor="text1"/>
          <w:sz w:val="20"/>
        </w:rPr>
        <w:t>通过友好协商，确定是否继续履行合同。</w:t>
      </w:r>
    </w:p>
    <w:p>
      <w:pPr>
        <w:pStyle w:val="2"/>
        <w:rPr>
          <w:color w:val="000000" w:themeColor="text1"/>
          <w:sz w:val="20"/>
        </w:rPr>
      </w:pPr>
      <w:r>
        <w:rPr>
          <w:color w:val="000000" w:themeColor="text1"/>
          <w:sz w:val="20"/>
        </w:rPr>
        <w:t>十五、诉讼</w:t>
      </w:r>
    </w:p>
    <w:p>
      <w:pPr>
        <w:pStyle w:val="3"/>
        <w:spacing w:before="22"/>
        <w:ind w:left="351"/>
        <w:rPr>
          <w:color w:val="000000" w:themeColor="text1"/>
          <w:sz w:val="20"/>
        </w:rPr>
      </w:pPr>
      <w:r>
        <w:rPr>
          <w:color w:val="000000" w:themeColor="text1"/>
          <w:sz w:val="20"/>
        </w:rPr>
        <w:t>双方在执行合同中所发生的一切争议，应通过协商解决。如协商不成，可向甲方所在地法院起诉。</w:t>
      </w:r>
    </w:p>
    <w:p>
      <w:pPr>
        <w:pStyle w:val="2"/>
        <w:spacing w:before="107"/>
        <w:rPr>
          <w:sz w:val="20"/>
        </w:rPr>
      </w:pPr>
      <w:r>
        <w:rPr>
          <w:sz w:val="20"/>
        </w:rPr>
        <w:t>十六、合同生效及其它</w:t>
      </w:r>
    </w:p>
    <w:p>
      <w:pPr>
        <w:pStyle w:val="16"/>
        <w:numPr>
          <w:ilvl w:val="0"/>
          <w:numId w:val="14"/>
        </w:numPr>
        <w:tabs>
          <w:tab w:val="left" w:pos="522"/>
        </w:tabs>
        <w:ind w:hanging="170"/>
        <w:rPr>
          <w:sz w:val="20"/>
        </w:rPr>
      </w:pPr>
      <w:r>
        <w:rPr>
          <w:sz w:val="20"/>
        </w:rPr>
        <w:t>本合同经甲、乙双方签字并加盖单位公章后生效。</w:t>
      </w:r>
    </w:p>
    <w:p>
      <w:pPr>
        <w:pStyle w:val="16"/>
        <w:numPr>
          <w:ilvl w:val="0"/>
          <w:numId w:val="14"/>
        </w:numPr>
        <w:tabs>
          <w:tab w:val="left" w:pos="522"/>
        </w:tabs>
        <w:ind w:left="111" w:right="101" w:firstLine="240"/>
        <w:rPr>
          <w:sz w:val="20"/>
        </w:rPr>
      </w:pPr>
      <w:r>
        <w:rPr>
          <w:sz w:val="20"/>
        </w:rPr>
        <w:t>招标文件、投标文件、项目采购协议或入围承诺书与本合同具有同等法律效力。如前述各项文件之间约定不一致的，应以最新签署的文件内容为准。</w:t>
      </w:r>
    </w:p>
    <w:p>
      <w:pPr>
        <w:pStyle w:val="16"/>
        <w:numPr>
          <w:ilvl w:val="0"/>
          <w:numId w:val="14"/>
        </w:numPr>
        <w:tabs>
          <w:tab w:val="left" w:pos="522"/>
        </w:tabs>
        <w:spacing w:before="1"/>
        <w:rPr>
          <w:sz w:val="20"/>
        </w:rPr>
      </w:pPr>
      <w:r>
        <w:rPr>
          <w:sz w:val="20"/>
        </w:rPr>
        <w:t>本合同未尽事宜，</w:t>
      </w:r>
      <w:r>
        <w:rPr>
          <w:rFonts w:hint="eastAsia"/>
          <w:sz w:val="20"/>
        </w:rPr>
        <w:t>以招投标文件为准</w:t>
      </w:r>
      <w:r>
        <w:rPr>
          <w:sz w:val="20"/>
        </w:rPr>
        <w:t>。</w:t>
      </w:r>
    </w:p>
    <w:p>
      <w:pPr>
        <w:pStyle w:val="16"/>
        <w:numPr>
          <w:ilvl w:val="0"/>
          <w:numId w:val="14"/>
        </w:numPr>
        <w:rPr>
          <w:sz w:val="20"/>
        </w:rPr>
      </w:pPr>
      <w:r>
        <w:rPr>
          <w:rFonts w:hint="eastAsia"/>
          <w:sz w:val="20"/>
        </w:rPr>
        <w:t>本合同一式三份，甲方执二份，乙方执一份，具有同等法律效力。</w:t>
      </w:r>
    </w:p>
    <w:p>
      <w:pPr>
        <w:pStyle w:val="16"/>
        <w:numPr>
          <w:ilvl w:val="0"/>
          <w:numId w:val="14"/>
        </w:numPr>
        <w:rPr>
          <w:sz w:val="20"/>
        </w:rPr>
      </w:pPr>
      <w:r>
        <w:rPr>
          <w:rFonts w:hint="eastAsia"/>
          <w:sz w:val="20"/>
        </w:rPr>
        <w:t>附件设备配置清单系本合同不可分割的组成部分，与本合同具有同等法律效力。</w:t>
      </w: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left="105" w:right="209"/>
        <w:rPr>
          <w:sz w:val="18"/>
        </w:rPr>
      </w:pPr>
      <w:r>
        <w:rPr>
          <w:rFonts w:hint="eastAsia"/>
          <w:sz w:val="18"/>
        </w:rPr>
        <w:t>甲方（盖章）： 温州市中医院</w:t>
      </w:r>
      <w:r>
        <w:rPr>
          <w:rFonts w:hint="eastAsia"/>
          <w:sz w:val="18"/>
        </w:rPr>
        <w:tab/>
      </w:r>
      <w:r>
        <w:rPr>
          <w:rFonts w:hint="eastAsia"/>
          <w:sz w:val="18"/>
        </w:rPr>
        <w:tab/>
      </w:r>
      <w:r>
        <w:rPr>
          <w:rFonts w:hint="eastAsia"/>
          <w:sz w:val="18"/>
        </w:rPr>
        <w:t xml:space="preserve">              乙方（盖章）：  </w:t>
      </w:r>
    </w:p>
    <w:p>
      <w:pPr>
        <w:pStyle w:val="3"/>
        <w:spacing w:before="106" w:line="264" w:lineRule="auto"/>
        <w:ind w:left="105" w:right="209"/>
        <w:rPr>
          <w:sz w:val="18"/>
        </w:rPr>
      </w:pPr>
      <w:r>
        <w:rPr>
          <w:rFonts w:hint="eastAsia"/>
          <w:sz w:val="18"/>
        </w:rPr>
        <w:t xml:space="preserve">地址：温州市六虹桥路蛟尾路9号                     地址：                                                                                           </w:t>
      </w:r>
    </w:p>
    <w:p>
      <w:pPr>
        <w:pStyle w:val="3"/>
        <w:spacing w:before="106" w:line="264" w:lineRule="auto"/>
        <w:ind w:left="105" w:right="209"/>
        <w:rPr>
          <w:sz w:val="18"/>
        </w:rPr>
      </w:pPr>
      <w:r>
        <w:rPr>
          <w:rFonts w:hint="eastAsia"/>
          <w:sz w:val="18"/>
        </w:rPr>
        <w:t xml:space="preserve">法定（授权）代表人：                              法定（授权）代表人： </w:t>
      </w:r>
    </w:p>
    <w:p>
      <w:pPr>
        <w:pStyle w:val="3"/>
        <w:spacing w:before="106" w:line="264" w:lineRule="auto"/>
        <w:ind w:left="105" w:right="209"/>
        <w:rPr>
          <w:sz w:val="18"/>
        </w:rPr>
      </w:pPr>
      <w:r>
        <w:rPr>
          <w:rFonts w:hint="eastAsia"/>
          <w:sz w:val="18"/>
        </w:rPr>
        <w:t>签字日期：    年    月    日                      签字日期：    年   月   日</w:t>
      </w:r>
    </w:p>
    <w:p>
      <w:pPr>
        <w:widowControl/>
        <w:jc w:val="left"/>
        <w:rPr>
          <w:rFonts w:ascii="宋体" w:hAnsi="宋体" w:eastAsia="宋体" w:cs="宋体"/>
          <w:kern w:val="0"/>
          <w:szCs w:val="17"/>
          <w:lang w:val="zh-CN" w:bidi="zh-CN"/>
        </w:rPr>
      </w:pPr>
      <w:r>
        <w:br w:type="page"/>
      </w:r>
    </w:p>
    <w:p>
      <w:pPr>
        <w:jc w:val="center"/>
        <w:rPr>
          <w:b/>
          <w:sz w:val="36"/>
          <w:szCs w:val="36"/>
        </w:rPr>
      </w:pPr>
      <w:r>
        <w:rPr>
          <w:rFonts w:hint="eastAsia"/>
          <w:b/>
          <w:sz w:val="36"/>
          <w:szCs w:val="36"/>
        </w:rPr>
        <w:t>设备配置清单</w:t>
      </w:r>
    </w:p>
    <w:p>
      <w:pPr>
        <w:pStyle w:val="3"/>
        <w:rPr>
          <w:sz w:val="20"/>
        </w:rPr>
      </w:pPr>
    </w:p>
    <w:tbl>
      <w:tblPr>
        <w:tblStyle w:val="8"/>
        <w:tblpPr w:leftFromText="180" w:rightFromText="180" w:vertAnchor="text" w:horzAnchor="margin" w:tblpXSpec="center" w:tblpY="357"/>
        <w:tblOverlap w:val="never"/>
        <w:tblW w:w="91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992"/>
        <w:gridCol w:w="2934"/>
        <w:gridCol w:w="1815"/>
        <w:gridCol w:w="705"/>
        <w:gridCol w:w="1110"/>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4" w:type="dxa"/>
          </w:tcPr>
          <w:p>
            <w:pPr>
              <w:jc w:val="center"/>
              <w:rPr>
                <w:b/>
                <w:sz w:val="17"/>
                <w:szCs w:val="17"/>
              </w:rPr>
            </w:pPr>
            <w:r>
              <w:rPr>
                <w:rFonts w:hint="eastAsia"/>
                <w:b/>
                <w:sz w:val="17"/>
                <w:szCs w:val="17"/>
              </w:rPr>
              <w:t>序号</w:t>
            </w:r>
          </w:p>
        </w:tc>
        <w:tc>
          <w:tcPr>
            <w:tcW w:w="992" w:type="dxa"/>
            <w:vAlign w:val="center"/>
          </w:tcPr>
          <w:p>
            <w:pPr>
              <w:jc w:val="center"/>
              <w:rPr>
                <w:b/>
                <w:sz w:val="17"/>
                <w:szCs w:val="17"/>
              </w:rPr>
            </w:pPr>
            <w:r>
              <w:rPr>
                <w:rFonts w:hint="eastAsia"/>
                <w:b/>
                <w:sz w:val="17"/>
                <w:szCs w:val="17"/>
              </w:rPr>
              <w:t>品牌</w:t>
            </w:r>
          </w:p>
        </w:tc>
        <w:tc>
          <w:tcPr>
            <w:tcW w:w="2934" w:type="dxa"/>
            <w:vAlign w:val="center"/>
          </w:tcPr>
          <w:p>
            <w:pPr>
              <w:jc w:val="center"/>
              <w:rPr>
                <w:b/>
                <w:sz w:val="17"/>
                <w:szCs w:val="17"/>
              </w:rPr>
            </w:pPr>
            <w:r>
              <w:rPr>
                <w:rFonts w:hint="eastAsia"/>
                <w:b/>
                <w:sz w:val="17"/>
                <w:szCs w:val="17"/>
              </w:rPr>
              <w:t>产品名称</w:t>
            </w:r>
          </w:p>
        </w:tc>
        <w:tc>
          <w:tcPr>
            <w:tcW w:w="1815" w:type="dxa"/>
            <w:vAlign w:val="center"/>
          </w:tcPr>
          <w:p>
            <w:pPr>
              <w:jc w:val="center"/>
              <w:rPr>
                <w:b/>
                <w:sz w:val="17"/>
                <w:szCs w:val="17"/>
              </w:rPr>
            </w:pPr>
            <w:r>
              <w:rPr>
                <w:rFonts w:hint="eastAsia"/>
                <w:b/>
                <w:sz w:val="17"/>
                <w:szCs w:val="17"/>
              </w:rPr>
              <w:t>规格型号</w:t>
            </w:r>
          </w:p>
        </w:tc>
        <w:tc>
          <w:tcPr>
            <w:tcW w:w="705" w:type="dxa"/>
            <w:vAlign w:val="center"/>
          </w:tcPr>
          <w:p>
            <w:pPr>
              <w:jc w:val="center"/>
              <w:rPr>
                <w:b/>
                <w:sz w:val="17"/>
                <w:szCs w:val="17"/>
              </w:rPr>
            </w:pPr>
            <w:r>
              <w:rPr>
                <w:rFonts w:hint="eastAsia"/>
                <w:b/>
                <w:sz w:val="17"/>
                <w:szCs w:val="17"/>
              </w:rPr>
              <w:t>数量</w:t>
            </w:r>
          </w:p>
        </w:tc>
        <w:tc>
          <w:tcPr>
            <w:tcW w:w="1110" w:type="dxa"/>
            <w:vAlign w:val="center"/>
          </w:tcPr>
          <w:p>
            <w:pPr>
              <w:jc w:val="center"/>
              <w:rPr>
                <w:b/>
                <w:sz w:val="17"/>
                <w:szCs w:val="17"/>
              </w:rPr>
            </w:pPr>
            <w:r>
              <w:rPr>
                <w:rFonts w:hint="eastAsia"/>
                <w:b/>
                <w:sz w:val="17"/>
                <w:szCs w:val="17"/>
              </w:rPr>
              <w:t>金额（元）</w:t>
            </w:r>
          </w:p>
        </w:tc>
        <w:tc>
          <w:tcPr>
            <w:tcW w:w="930" w:type="dxa"/>
            <w:vAlign w:val="center"/>
          </w:tcPr>
          <w:p>
            <w:pPr>
              <w:jc w:val="center"/>
              <w:rPr>
                <w:b/>
                <w:sz w:val="17"/>
                <w:szCs w:val="17"/>
              </w:rPr>
            </w:pPr>
            <w:r>
              <w:rPr>
                <w:rFonts w:hint="eastAsia"/>
                <w:b/>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2</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3</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4</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5</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6</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7</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8</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9</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10</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11</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12</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13</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14</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bl>
    <w:p>
      <w:pPr>
        <w:pStyle w:val="3"/>
        <w:rPr>
          <w:sz w:val="20"/>
        </w:rPr>
      </w:pPr>
    </w:p>
    <w:p>
      <w:pPr>
        <w:widowControl/>
        <w:jc w:val="left"/>
        <w:rPr>
          <w:rFonts w:ascii="宋体" w:hAnsi="宋体" w:eastAsia="宋体" w:cs="宋体"/>
          <w:kern w:val="0"/>
          <w:sz w:val="20"/>
          <w:szCs w:val="17"/>
          <w:lang w:val="zh-CN" w:bidi="zh-CN"/>
        </w:rPr>
      </w:pPr>
      <w:r>
        <w:rPr>
          <w:sz w:val="20"/>
        </w:rPr>
        <w:br w:type="page"/>
      </w:r>
    </w:p>
    <w:p>
      <w:pPr>
        <w:spacing w:line="440" w:lineRule="exact"/>
        <w:jc w:val="center"/>
        <w:rPr>
          <w:rFonts w:ascii="Calibri" w:hAnsi="Calibri" w:eastAsia="宋体" w:cs="Times New Roman"/>
          <w:b/>
          <w:sz w:val="28"/>
          <w:szCs w:val="28"/>
        </w:rPr>
      </w:pPr>
      <w:r>
        <w:rPr>
          <w:rFonts w:ascii="Calibri" w:hAnsi="Calibri" w:eastAsia="宋体" w:cs="Times New Roman"/>
          <w:b/>
          <w:sz w:val="28"/>
          <w:szCs w:val="28"/>
        </w:rPr>
        <w:t>廉洁购销合同</w:t>
      </w:r>
    </w:p>
    <w:p>
      <w:pPr>
        <w:spacing w:line="440" w:lineRule="exact"/>
        <w:rPr>
          <w:rFonts w:ascii="Calibri" w:hAnsi="Calibri" w:eastAsia="宋体" w:cs="Times New Roman"/>
          <w:bCs/>
          <w:sz w:val="18"/>
          <w:szCs w:val="20"/>
        </w:rPr>
      </w:pPr>
      <w:r>
        <w:rPr>
          <w:rFonts w:ascii="Calibri" w:hAnsi="Calibri" w:eastAsia="宋体" w:cs="Times New Roman"/>
          <w:sz w:val="18"/>
          <w:szCs w:val="20"/>
        </w:rPr>
        <w:t>甲方</w:t>
      </w:r>
      <w:r>
        <w:rPr>
          <w:rFonts w:ascii="Calibri" w:hAnsi="Calibri" w:eastAsia="宋体" w:cs="Times New Roman"/>
          <w:bCs/>
          <w:sz w:val="18"/>
          <w:szCs w:val="20"/>
        </w:rPr>
        <w:t>：</w:t>
      </w:r>
      <w:r>
        <w:rPr>
          <w:rFonts w:hint="eastAsia" w:ascii="Calibri" w:hAnsi="Calibri" w:eastAsia="宋体" w:cs="Times New Roman"/>
          <w:bCs/>
          <w:sz w:val="18"/>
          <w:szCs w:val="20"/>
        </w:rPr>
        <w:t>温州市中医院</w:t>
      </w:r>
    </w:p>
    <w:p>
      <w:pPr>
        <w:spacing w:line="440" w:lineRule="exact"/>
        <w:rPr>
          <w:rFonts w:ascii="Calibri" w:hAnsi="Calibri" w:eastAsia="宋体" w:cs="Times New Roman"/>
          <w:bCs/>
          <w:sz w:val="18"/>
          <w:szCs w:val="20"/>
        </w:rPr>
      </w:pPr>
      <w:r>
        <w:rPr>
          <w:rFonts w:ascii="Calibri" w:hAnsi="Calibri" w:eastAsia="宋体" w:cs="Times New Roman"/>
          <w:sz w:val="18"/>
          <w:szCs w:val="20"/>
        </w:rPr>
        <w:t>乙方</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为进一步加强医疗卫生行风建设，规范医疗卫生机构</w:t>
      </w:r>
      <w:r>
        <w:rPr>
          <w:rFonts w:hint="eastAsia" w:ascii="Calibri" w:hAnsi="Calibri" w:eastAsia="宋体" w:cs="Times New Roman"/>
          <w:bCs/>
          <w:sz w:val="18"/>
          <w:szCs w:val="20"/>
        </w:rPr>
        <w:t>各类</w:t>
      </w:r>
      <w:r>
        <w:rPr>
          <w:rFonts w:ascii="Calibri" w:hAnsi="Calibri" w:eastAsia="宋体" w:cs="Times New Roman"/>
          <w:bCs/>
          <w:sz w:val="18"/>
          <w:szCs w:val="20"/>
        </w:rPr>
        <w:t>购销行为，有效防范商业贿赂行为，营造公平交易、诚实守信的</w:t>
      </w:r>
      <w:r>
        <w:rPr>
          <w:rFonts w:hint="eastAsia" w:ascii="Calibri" w:hAnsi="Calibri" w:eastAsia="宋体" w:cs="Times New Roman"/>
          <w:bCs/>
          <w:sz w:val="18"/>
          <w:szCs w:val="20"/>
        </w:rPr>
        <w:t>“清廉医院”</w:t>
      </w:r>
      <w:r>
        <w:rPr>
          <w:rFonts w:ascii="Calibri" w:hAnsi="Calibri" w:eastAsia="宋体" w:cs="Times New Roman"/>
          <w:bCs/>
          <w:sz w:val="18"/>
          <w:szCs w:val="20"/>
        </w:rPr>
        <w:t>购销环境，经甲、乙双方协商，同意签订本合同，并共同遵守：</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一、甲乙双方按照《</w:t>
      </w:r>
      <w:r>
        <w:rPr>
          <w:rFonts w:hint="eastAsia" w:ascii="Calibri" w:hAnsi="Calibri" w:eastAsia="宋体" w:cs="Times New Roman"/>
          <w:bCs/>
          <w:sz w:val="18"/>
          <w:szCs w:val="20"/>
        </w:rPr>
        <w:t>民法典</w:t>
      </w:r>
      <w:r>
        <w:rPr>
          <w:rFonts w:ascii="Calibri" w:hAnsi="Calibri" w:eastAsia="宋体" w:cs="Times New Roman"/>
          <w:bCs/>
          <w:sz w:val="18"/>
          <w:szCs w:val="20"/>
        </w:rPr>
        <w:t>》</w:t>
      </w:r>
      <w:r>
        <w:rPr>
          <w:rFonts w:hint="eastAsia" w:ascii="Calibri" w:hAnsi="Calibri" w:eastAsia="宋体" w:cs="Times New Roman"/>
          <w:bCs/>
          <w:sz w:val="18"/>
          <w:szCs w:val="20"/>
        </w:rPr>
        <w:t>等相关法规要求，约定</w:t>
      </w:r>
      <w:r>
        <w:rPr>
          <w:rFonts w:ascii="Calibri" w:hAnsi="Calibri" w:eastAsia="宋体" w:cs="Times New Roman"/>
          <w:bCs/>
          <w:sz w:val="18"/>
          <w:szCs w:val="20"/>
        </w:rPr>
        <w:t>购销</w:t>
      </w:r>
      <w:r>
        <w:rPr>
          <w:rFonts w:hint="eastAsia" w:ascii="Calibri" w:hAnsi="Calibri" w:eastAsia="宋体" w:cs="Times New Roman"/>
          <w:bCs/>
          <w:sz w:val="18"/>
          <w:szCs w:val="20"/>
        </w:rPr>
        <w:t>包括但不限于</w:t>
      </w:r>
      <w:r>
        <w:rPr>
          <w:rFonts w:ascii="Calibri" w:hAnsi="Calibri" w:eastAsia="宋体" w:cs="Times New Roman"/>
          <w:bCs/>
          <w:sz w:val="18"/>
          <w:szCs w:val="20"/>
        </w:rPr>
        <w:t>药品、设备、耗材</w:t>
      </w:r>
      <w:r>
        <w:rPr>
          <w:rFonts w:hint="eastAsia" w:ascii="Calibri" w:hAnsi="Calibri" w:eastAsia="宋体" w:cs="Times New Roman"/>
          <w:bCs/>
          <w:sz w:val="18"/>
          <w:szCs w:val="20"/>
        </w:rPr>
        <w:t>、维保</w:t>
      </w:r>
      <w:r>
        <w:rPr>
          <w:rFonts w:ascii="Calibri" w:hAnsi="Calibri" w:eastAsia="宋体" w:cs="Times New Roman"/>
          <w:bCs/>
          <w:sz w:val="18"/>
          <w:szCs w:val="20"/>
        </w:rPr>
        <w:t>等</w:t>
      </w:r>
      <w:r>
        <w:rPr>
          <w:rFonts w:hint="eastAsia" w:ascii="Calibri" w:hAnsi="Calibri" w:eastAsia="宋体" w:cs="Times New Roman"/>
          <w:bCs/>
          <w:sz w:val="18"/>
          <w:szCs w:val="20"/>
        </w:rPr>
        <w:t>货物或服务</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二、甲方应当严格执行合同验收、入库制度，对采购产品及发票进行查验，不得违反有关规定合同外采购、违价采购或从非规定渠道采购。</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四、严禁甲方工作人员利用任何途径和方式，为乙方统计医师个人及临床科室有关医药产品用量信息，或为乙方统计提供便利。</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五、乙方不得以回扣、宴请等方式影响甲方工作人员采购</w:t>
      </w:r>
      <w:r>
        <w:rPr>
          <w:rFonts w:hint="eastAsia" w:ascii="Calibri" w:hAnsi="Calibri" w:eastAsia="宋体" w:cs="Times New Roman"/>
          <w:bCs/>
          <w:sz w:val="18"/>
          <w:szCs w:val="20"/>
        </w:rPr>
        <w:t>或使用</w:t>
      </w:r>
      <w:r>
        <w:rPr>
          <w:rFonts w:ascii="Calibri" w:hAnsi="Calibri" w:eastAsia="宋体" w:cs="Times New Roman"/>
          <w:bCs/>
          <w:sz w:val="18"/>
          <w:szCs w:val="20"/>
        </w:rPr>
        <w:t>产品的选择权，不得在学术活动中提供旅游、超标准支付食宿费用。</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六、乙方指定作为销售代表洽谈业务。销售代表必须在工作时间到甲方指定地点联系商谈，不得到住院部、门诊部、医技科室等推销产品，不得借故到甲方相关领导、部门负责人及相关工作人员家中访谈并提供任何好处费。</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ascii="Calibri" w:hAnsi="Calibri" w:eastAsia="宋体" w:cs="Times New Roman"/>
          <w:bCs/>
          <w:sz w:val="18"/>
          <w:szCs w:val="20"/>
          <w:shd w:val="clear" w:color="auto" w:fill="FFFFFF"/>
        </w:rPr>
        <w:t>（国卫法制发〔2013〕50号）</w:t>
      </w:r>
      <w:r>
        <w:rPr>
          <w:rFonts w:hint="eastAsia" w:ascii="Calibri" w:hAnsi="Calibri" w:eastAsia="宋体" w:cs="Times New Roman"/>
          <w:bCs/>
          <w:sz w:val="18"/>
          <w:szCs w:val="20"/>
          <w:shd w:val="clear" w:color="auto" w:fill="FFFFFF"/>
        </w:rPr>
        <w:t>及《关于印发医疗机构工作人员廉洁从业九项准则的通知》（国卫医发〔2021〕37号）</w:t>
      </w:r>
      <w:r>
        <w:rPr>
          <w:rFonts w:ascii="Calibri" w:hAnsi="Calibri" w:eastAsia="宋体" w:cs="Times New Roman"/>
          <w:bCs/>
          <w:sz w:val="18"/>
          <w:szCs w:val="20"/>
        </w:rPr>
        <w:t>相关规定处理。</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八、本合同作为购销合同的重要组成部分，与购销合同一并执行，具有同等的法律效力。</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九、本合同一式三份，甲、乙双方各执一份，甲方纪检监察部门执一份，并从签订之日起生效。</w:t>
      </w:r>
    </w:p>
    <w:p>
      <w:pPr>
        <w:spacing w:line="440" w:lineRule="exact"/>
        <w:rPr>
          <w:rFonts w:ascii="Calibri" w:hAnsi="Calibri" w:eastAsia="宋体" w:cs="Times New Roman"/>
          <w:bCs/>
          <w:sz w:val="18"/>
          <w:szCs w:val="20"/>
        </w:rPr>
      </w:pPr>
    </w:p>
    <w:p>
      <w:pPr>
        <w:spacing w:line="440" w:lineRule="exact"/>
        <w:rPr>
          <w:rFonts w:ascii="Calibri" w:hAnsi="Calibri" w:eastAsia="宋体" w:cs="Times New Roman"/>
          <w:bCs/>
          <w:sz w:val="18"/>
          <w:szCs w:val="20"/>
        </w:rPr>
      </w:pPr>
      <w:r>
        <w:rPr>
          <w:rFonts w:ascii="Calibri" w:hAnsi="Calibri" w:eastAsia="宋体" w:cs="Times New Roman"/>
          <w:bCs/>
          <w:sz w:val="18"/>
          <w:szCs w:val="20"/>
        </w:rPr>
        <w:t>甲方（盖章）：                     乙方（盖章）：</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法定代表人（负责人）：             法定代表人（负责人）：</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经办人签名：                      经办人签名：</w:t>
      </w:r>
    </w:p>
    <w:p>
      <w:pPr>
        <w:spacing w:line="440" w:lineRule="exact"/>
        <w:ind w:firstLine="450" w:firstLineChars="250"/>
        <w:rPr>
          <w:rFonts w:ascii="Calibri" w:hAnsi="Calibri" w:eastAsia="宋体" w:cs="Times New Roman"/>
          <w:sz w:val="18"/>
          <w:szCs w:val="24"/>
        </w:rPr>
      </w:pPr>
      <w:r>
        <w:rPr>
          <w:rFonts w:ascii="Calibri" w:hAnsi="Calibri" w:eastAsia="宋体" w:cs="Times New Roman"/>
          <w:bCs/>
          <w:sz w:val="18"/>
          <w:szCs w:val="20"/>
        </w:rPr>
        <w:t>年   月   日                       年   月  日</w:t>
      </w:r>
    </w:p>
    <w:p>
      <w:pPr>
        <w:jc w:val="left"/>
        <w:rPr>
          <w:b/>
          <w:bCs/>
          <w:sz w:val="24"/>
        </w:rPr>
      </w:pPr>
    </w:p>
    <w:sectPr>
      <w:pgSz w:w="11906" w:h="16838"/>
      <w:pgMar w:top="850" w:right="1417" w:bottom="85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
    <w:nsid w:val="B5E306ED"/>
    <w:multiLevelType w:val="multilevel"/>
    <w:tmpl w:val="B5E306ED"/>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2">
    <w:nsid w:val="BF205925"/>
    <w:multiLevelType w:val="multilevel"/>
    <w:tmpl w:val="BF205925"/>
    <w:lvl w:ilvl="0" w:tentative="0">
      <w:start w:val="1"/>
      <w:numFmt w:val="decimal"/>
      <w:lvlText w:val="（%1）"/>
      <w:lvlJc w:val="left"/>
      <w:pPr>
        <w:ind w:left="796" w:hanging="446"/>
      </w:pPr>
      <w:rPr>
        <w:rFonts w:hint="default" w:ascii="宋体" w:hAnsi="宋体" w:eastAsia="宋体" w:cs="宋体"/>
        <w:spacing w:val="-13"/>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3">
    <w:nsid w:val="CF092B84"/>
    <w:multiLevelType w:val="multilevel"/>
    <w:tmpl w:val="CF092B84"/>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4">
    <w:nsid w:val="0053208E"/>
    <w:multiLevelType w:val="multilevel"/>
    <w:tmpl w:val="0053208E"/>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5">
    <w:nsid w:val="0248C179"/>
    <w:multiLevelType w:val="multilevel"/>
    <w:tmpl w:val="0248C17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6">
    <w:nsid w:val="03D62ECE"/>
    <w:multiLevelType w:val="multilevel"/>
    <w:tmpl w:val="03D62ECE"/>
    <w:lvl w:ilvl="0" w:tentative="0">
      <w:start w:val="1"/>
      <w:numFmt w:val="decimal"/>
      <w:lvlText w:val="（%1）"/>
      <w:lvlJc w:val="left"/>
      <w:pPr>
        <w:ind w:left="796" w:hanging="446"/>
      </w:pPr>
      <w:rPr>
        <w:rFonts w:hint="default" w:ascii="宋体" w:hAnsi="宋体" w:eastAsia="宋体" w:cs="宋体"/>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7">
    <w:nsid w:val="0EF21C84"/>
    <w:multiLevelType w:val="multilevel"/>
    <w:tmpl w:val="0EF21C84"/>
    <w:lvl w:ilvl="0" w:tentative="0">
      <w:start w:val="1"/>
      <w:numFmt w:val="japaneseCounting"/>
      <w:lvlText w:val="%1、"/>
      <w:lvlJc w:val="left"/>
      <w:pPr>
        <w:ind w:left="525" w:hanging="420"/>
      </w:pPr>
      <w:rPr>
        <w:rFonts w:hint="default"/>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abstractNum w:abstractNumId="8">
    <w:nsid w:val="11BBAE1D"/>
    <w:multiLevelType w:val="singleLevel"/>
    <w:tmpl w:val="11BBAE1D"/>
    <w:lvl w:ilvl="0" w:tentative="0">
      <w:start w:val="1"/>
      <w:numFmt w:val="chineseCounting"/>
      <w:suff w:val="nothing"/>
      <w:lvlText w:val="%1、"/>
      <w:lvlJc w:val="left"/>
      <w:rPr>
        <w:rFonts w:hint="eastAsia"/>
      </w:rPr>
    </w:lvl>
  </w:abstractNum>
  <w:abstractNum w:abstractNumId="9">
    <w:nsid w:val="1CFCF95C"/>
    <w:multiLevelType w:val="singleLevel"/>
    <w:tmpl w:val="1CFCF95C"/>
    <w:lvl w:ilvl="0" w:tentative="0">
      <w:start w:val="3"/>
      <w:numFmt w:val="decimal"/>
      <w:suff w:val="nothing"/>
      <w:lvlText w:val="%1、"/>
      <w:lvlJc w:val="left"/>
    </w:lvl>
  </w:abstractNum>
  <w:abstractNum w:abstractNumId="10">
    <w:nsid w:val="25B654F3"/>
    <w:multiLevelType w:val="multilevel"/>
    <w:tmpl w:val="25B654F3"/>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1">
    <w:nsid w:val="2A8F537B"/>
    <w:multiLevelType w:val="multilevel"/>
    <w:tmpl w:val="2A8F537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2">
    <w:nsid w:val="59ADCABA"/>
    <w:multiLevelType w:val="multilevel"/>
    <w:tmpl w:val="59ADCABA"/>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3">
    <w:nsid w:val="72183CF9"/>
    <w:multiLevelType w:val="multilevel"/>
    <w:tmpl w:val="72183CF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num w:numId="1">
    <w:abstractNumId w:val="8"/>
  </w:num>
  <w:num w:numId="2">
    <w:abstractNumId w:val="9"/>
  </w:num>
  <w:num w:numId="3">
    <w:abstractNumId w:val="7"/>
  </w:num>
  <w:num w:numId="4">
    <w:abstractNumId w:val="4"/>
  </w:num>
  <w:num w:numId="5">
    <w:abstractNumId w:val="3"/>
  </w:num>
  <w:num w:numId="6">
    <w:abstractNumId w:val="12"/>
  </w:num>
  <w:num w:numId="7">
    <w:abstractNumId w:val="2"/>
  </w:num>
  <w:num w:numId="8">
    <w:abstractNumId w:val="1"/>
  </w:num>
  <w:num w:numId="9">
    <w:abstractNumId w:val="6"/>
  </w:num>
  <w:num w:numId="10">
    <w:abstractNumId w:val="10"/>
  </w:num>
  <w:num w:numId="11">
    <w:abstractNumId w:val="13"/>
  </w:num>
  <w:num w:numId="12">
    <w:abstractNumId w:val="5"/>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733DD2"/>
    <w:rsid w:val="00026A1F"/>
    <w:rsid w:val="00071FFF"/>
    <w:rsid w:val="000A2FEB"/>
    <w:rsid w:val="000A5F9B"/>
    <w:rsid w:val="000B2223"/>
    <w:rsid w:val="00154B8C"/>
    <w:rsid w:val="001E31F7"/>
    <w:rsid w:val="0025720F"/>
    <w:rsid w:val="0027418F"/>
    <w:rsid w:val="002902FC"/>
    <w:rsid w:val="002F0826"/>
    <w:rsid w:val="00326C0F"/>
    <w:rsid w:val="00395690"/>
    <w:rsid w:val="003F3199"/>
    <w:rsid w:val="004131B4"/>
    <w:rsid w:val="00420CA3"/>
    <w:rsid w:val="00497393"/>
    <w:rsid w:val="004C713C"/>
    <w:rsid w:val="004E5E1A"/>
    <w:rsid w:val="004E7AFD"/>
    <w:rsid w:val="005147EF"/>
    <w:rsid w:val="005D37B9"/>
    <w:rsid w:val="005E2841"/>
    <w:rsid w:val="00602621"/>
    <w:rsid w:val="00612734"/>
    <w:rsid w:val="00671D4A"/>
    <w:rsid w:val="006A088D"/>
    <w:rsid w:val="006A42DB"/>
    <w:rsid w:val="00733DD2"/>
    <w:rsid w:val="007F05EF"/>
    <w:rsid w:val="0082310E"/>
    <w:rsid w:val="00855630"/>
    <w:rsid w:val="00863B91"/>
    <w:rsid w:val="00873D56"/>
    <w:rsid w:val="008C37D0"/>
    <w:rsid w:val="008E4249"/>
    <w:rsid w:val="0093051F"/>
    <w:rsid w:val="00940FD3"/>
    <w:rsid w:val="00943D64"/>
    <w:rsid w:val="00952609"/>
    <w:rsid w:val="009C1FBF"/>
    <w:rsid w:val="009E136B"/>
    <w:rsid w:val="009E4BCC"/>
    <w:rsid w:val="00A76C33"/>
    <w:rsid w:val="00A808E4"/>
    <w:rsid w:val="00A80B4E"/>
    <w:rsid w:val="00A93480"/>
    <w:rsid w:val="00B4172A"/>
    <w:rsid w:val="00BC00EB"/>
    <w:rsid w:val="00BF3469"/>
    <w:rsid w:val="00C969CF"/>
    <w:rsid w:val="00D06A7D"/>
    <w:rsid w:val="00D4297B"/>
    <w:rsid w:val="00D77D37"/>
    <w:rsid w:val="00D873FD"/>
    <w:rsid w:val="00D9066A"/>
    <w:rsid w:val="00DD12A9"/>
    <w:rsid w:val="00DE7ADB"/>
    <w:rsid w:val="00E51899"/>
    <w:rsid w:val="00EF7182"/>
    <w:rsid w:val="00F01072"/>
    <w:rsid w:val="00F26748"/>
    <w:rsid w:val="0261487E"/>
    <w:rsid w:val="02B15ED7"/>
    <w:rsid w:val="037819C8"/>
    <w:rsid w:val="04165086"/>
    <w:rsid w:val="078517CA"/>
    <w:rsid w:val="08284F35"/>
    <w:rsid w:val="0D6B27A0"/>
    <w:rsid w:val="11D56F8A"/>
    <w:rsid w:val="157B401A"/>
    <w:rsid w:val="193D5EF2"/>
    <w:rsid w:val="20561DEF"/>
    <w:rsid w:val="22723315"/>
    <w:rsid w:val="23690A46"/>
    <w:rsid w:val="26D95325"/>
    <w:rsid w:val="2A2814A5"/>
    <w:rsid w:val="2BA52826"/>
    <w:rsid w:val="2D2A3B23"/>
    <w:rsid w:val="2D9343A1"/>
    <w:rsid w:val="2EB05F76"/>
    <w:rsid w:val="3DB75172"/>
    <w:rsid w:val="3DB93A23"/>
    <w:rsid w:val="405108FA"/>
    <w:rsid w:val="4136403A"/>
    <w:rsid w:val="41EF774F"/>
    <w:rsid w:val="430D698D"/>
    <w:rsid w:val="449E2D2B"/>
    <w:rsid w:val="46094A05"/>
    <w:rsid w:val="469556B5"/>
    <w:rsid w:val="534B0A6F"/>
    <w:rsid w:val="547D6E0D"/>
    <w:rsid w:val="5B744F31"/>
    <w:rsid w:val="5DEC7787"/>
    <w:rsid w:val="63B95A6A"/>
    <w:rsid w:val="6BF3478F"/>
    <w:rsid w:val="6C6A3860"/>
    <w:rsid w:val="6DE10695"/>
    <w:rsid w:val="6E6658CD"/>
    <w:rsid w:val="71D71133"/>
    <w:rsid w:val="75306BE1"/>
    <w:rsid w:val="773504DF"/>
    <w:rsid w:val="785726D7"/>
    <w:rsid w:val="7CEF1EA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1"/>
    <w:pPr>
      <w:autoSpaceDE w:val="0"/>
      <w:autoSpaceDN w:val="0"/>
      <w:spacing w:before="106"/>
      <w:ind w:left="105"/>
      <w:jc w:val="left"/>
      <w:outlineLvl w:val="1"/>
    </w:pPr>
    <w:rPr>
      <w:rFonts w:ascii="宋体" w:hAnsi="宋体" w:eastAsia="宋体" w:cs="宋体"/>
      <w:b/>
      <w:bCs/>
      <w:kern w:val="0"/>
      <w:sz w:val="17"/>
      <w:szCs w:val="17"/>
      <w:lang w:val="zh-CN" w:bidi="zh-CN"/>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jc w:val="left"/>
    </w:pPr>
    <w:rPr>
      <w:rFonts w:ascii="宋体" w:hAnsi="宋体" w:eastAsia="宋体" w:cs="宋体"/>
      <w:kern w:val="0"/>
      <w:sz w:val="17"/>
      <w:szCs w:val="17"/>
      <w:lang w:val="zh-CN" w:bidi="zh-CN"/>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paragraph" w:styleId="7">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Emphasis"/>
    <w:qFormat/>
    <w:uiPriority w:val="20"/>
    <w:rPr>
      <w:i/>
      <w:iCs/>
    </w:rPr>
  </w:style>
  <w:style w:type="character" w:customStyle="1" w:styleId="13">
    <w:name w:val="页眉 Char"/>
    <w:basedOn w:val="10"/>
    <w:link w:val="5"/>
    <w:qFormat/>
    <w:uiPriority w:val="99"/>
    <w:rPr>
      <w:sz w:val="18"/>
      <w:szCs w:val="18"/>
    </w:rPr>
  </w:style>
  <w:style w:type="character" w:customStyle="1" w:styleId="14">
    <w:name w:val="页脚 Char"/>
    <w:basedOn w:val="10"/>
    <w:link w:val="4"/>
    <w:qFormat/>
    <w:uiPriority w:val="99"/>
    <w:rPr>
      <w:sz w:val="18"/>
      <w:szCs w:val="18"/>
    </w:rPr>
  </w:style>
  <w:style w:type="paragraph" w:customStyle="1" w:styleId="15">
    <w:name w:val="Table Paragraph"/>
    <w:basedOn w:val="1"/>
    <w:qFormat/>
    <w:uiPriority w:val="1"/>
    <w:pPr>
      <w:autoSpaceDE w:val="0"/>
      <w:autoSpaceDN w:val="0"/>
      <w:jc w:val="left"/>
    </w:pPr>
    <w:rPr>
      <w:rFonts w:ascii="宋体" w:hAnsi="宋体" w:eastAsia="宋体" w:cs="宋体"/>
      <w:kern w:val="0"/>
      <w:sz w:val="22"/>
      <w:lang w:val="zh-CN" w:bidi="zh-CN"/>
    </w:rPr>
  </w:style>
  <w:style w:type="paragraph" w:styleId="16">
    <w:name w:val="List Paragraph"/>
    <w:basedOn w:val="1"/>
    <w:qFormat/>
    <w:uiPriority w:val="1"/>
    <w:pPr>
      <w:autoSpaceDE w:val="0"/>
      <w:autoSpaceDN w:val="0"/>
      <w:spacing w:before="21"/>
      <w:ind w:left="521" w:hanging="170"/>
      <w:jc w:val="left"/>
    </w:pPr>
    <w:rPr>
      <w:rFonts w:ascii="宋体" w:hAnsi="宋体" w:eastAsia="宋体" w:cs="宋体"/>
      <w:kern w:val="0"/>
      <w:sz w:val="2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WZSZYY.CN</Company>
  <Pages>8</Pages>
  <Words>5371</Words>
  <Characters>5524</Characters>
  <Lines>44</Lines>
  <Paragraphs>12</Paragraphs>
  <TotalTime>0</TotalTime>
  <ScaleCrop>false</ScaleCrop>
  <LinksUpToDate>false</LinksUpToDate>
  <CharactersWithSpaces>5921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2020-04-25T02:43:00Z</dcterms:created>
  <dc:creator>test</dc:creator>
  <cp:lastModifiedBy>Administrator</cp:lastModifiedBy>
  <dcterms:modified xsi:type="dcterms:W3CDTF">2022-04-22T07:30:51Z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eyJoZGlkIjoiMjRiMzIwNTY3MTczYzNiN2UxOGJmYzAxNjg5MjZiNzQifQ==</vt:lpwstr>
  </property>
  <property fmtid="{D5CDD505-2E9C-101B-9397-08002B2CF9AE}" pid="3" name="KSOProductBuildVer">
    <vt:lpwstr>2052-11.1.0.11636</vt:lpwstr>
  </property>
  <property fmtid="{D5CDD505-2E9C-101B-9397-08002B2CF9AE}" pid="4" name="ICV">
    <vt:lpwstr>99012001CC8449E1B44B4987A03F7E88</vt:lpwstr>
  </property>
</Properties>
</file>